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30C3820B" w14:textId="77777777" w:rsidR="006A1E41" w:rsidRDefault="006A1E41" w:rsidP="006A1E41">
      <w:pPr>
        <w:spacing w:line="360" w:lineRule="auto"/>
        <w:jc w:val="center"/>
        <w:rPr>
          <w:b/>
          <w:color w:val="008000"/>
          <w:lang w:val="uk-UA"/>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31526F">
        <w:rPr>
          <w:b/>
          <w:color w:val="008000"/>
          <w:lang w:val="uk-UA"/>
        </w:rPr>
        <w:t>CBPF-UKR-23-S-NGO-24791</w:t>
      </w:r>
    </w:p>
    <w:p w14:paraId="5760B962" w14:textId="3C33B47B" w:rsidR="006A1E41" w:rsidRPr="00535EDF" w:rsidRDefault="006A1E41" w:rsidP="006A1E41">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Pr="0031526F">
        <w:rPr>
          <w:b/>
          <w:sz w:val="20"/>
          <w:szCs w:val="20"/>
          <w:shd w:val="clear" w:color="auto" w:fill="FFFFFF"/>
          <w:lang w:val="uk-UA"/>
        </w:rPr>
        <w:t xml:space="preserve">Моніторинг захисту на рівні громади та діяльність із захисту на рівні громади в </w:t>
      </w:r>
      <w:r w:rsidR="008A7AF8">
        <w:rPr>
          <w:b/>
          <w:sz w:val="20"/>
          <w:szCs w:val="20"/>
          <w:shd w:val="clear" w:color="auto" w:fill="FFFFFF"/>
          <w:lang w:val="en-US"/>
        </w:rPr>
        <w:t>C</w:t>
      </w:r>
      <w:proofErr w:type="spellStart"/>
      <w:r w:rsidR="008A7AF8">
        <w:rPr>
          <w:b/>
          <w:sz w:val="20"/>
          <w:szCs w:val="20"/>
          <w:shd w:val="clear" w:color="auto" w:fill="FFFFFF"/>
          <w:lang w:val="uk-UA"/>
        </w:rPr>
        <w:t>умській</w:t>
      </w:r>
      <w:proofErr w:type="spellEnd"/>
      <w:r w:rsidRPr="0031526F">
        <w:rPr>
          <w:b/>
          <w:sz w:val="20"/>
          <w:szCs w:val="20"/>
          <w:shd w:val="clear" w:color="auto" w:fill="FFFFFF"/>
          <w:lang w:val="uk-UA"/>
        </w:rPr>
        <w:t xml:space="preserve"> області</w:t>
      </w:r>
      <w:bookmarkEnd w:id="2"/>
      <w:r w:rsidRPr="00535EDF">
        <w:rPr>
          <w:b/>
          <w:sz w:val="20"/>
          <w:szCs w:val="20"/>
          <w:shd w:val="clear" w:color="auto" w:fill="FFFFFF"/>
          <w:lang w:val="uk-UA"/>
        </w:rPr>
        <w:t>»</w:t>
      </w:r>
      <w:bookmarkEnd w:id="1"/>
    </w:p>
    <w:p w14:paraId="246CF68F" w14:textId="2AB6BD41"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52655D">
        <w:rPr>
          <w:b/>
          <w:sz w:val="20"/>
          <w:szCs w:val="20"/>
          <w:shd w:val="clear" w:color="auto" w:fill="FFFFFF"/>
          <w:lang w:val="uk-UA"/>
        </w:rPr>
        <w:t>06</w:t>
      </w:r>
      <w:r w:rsidR="00410442" w:rsidRPr="00856277">
        <w:rPr>
          <w:b/>
          <w:sz w:val="20"/>
          <w:szCs w:val="20"/>
          <w:shd w:val="clear" w:color="auto" w:fill="FFFFFF"/>
          <w:lang w:val="uk-UA"/>
        </w:rPr>
        <w:t>.</w:t>
      </w:r>
      <w:r w:rsidR="0052655D">
        <w:rPr>
          <w:b/>
          <w:sz w:val="20"/>
          <w:szCs w:val="20"/>
          <w:shd w:val="clear" w:color="auto" w:fill="FFFFFF"/>
          <w:lang w:val="uk-UA"/>
        </w:rPr>
        <w:t>10</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264A0CEB"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52655D">
        <w:rPr>
          <w:b/>
          <w:sz w:val="22"/>
          <w:szCs w:val="22"/>
          <w:shd w:val="clear" w:color="auto" w:fill="FFFFFF"/>
          <w:lang w:val="uk-UA"/>
        </w:rPr>
        <w:t>06</w:t>
      </w:r>
      <w:r w:rsidR="008A7AF8">
        <w:rPr>
          <w:b/>
          <w:sz w:val="22"/>
          <w:szCs w:val="22"/>
          <w:shd w:val="clear" w:color="auto" w:fill="FFFFFF"/>
          <w:lang w:val="uk-UA"/>
        </w:rPr>
        <w:t>/1</w:t>
      </w:r>
      <w:r w:rsidR="0060144A" w:rsidRPr="00643E4E">
        <w:rPr>
          <w:b/>
          <w:sz w:val="22"/>
          <w:szCs w:val="22"/>
          <w:shd w:val="clear" w:color="auto" w:fill="FFFFFF"/>
          <w:lang w:val="uk-UA"/>
        </w:rPr>
        <w:t>_</w:t>
      </w:r>
      <w:r w:rsidR="0052655D">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3BF92AC6" w:rsidR="008841C2" w:rsidRPr="00643E4E" w:rsidRDefault="00A92C17" w:rsidP="0060296C">
      <w:pPr>
        <w:jc w:val="center"/>
        <w:rPr>
          <w:b/>
          <w:sz w:val="22"/>
          <w:szCs w:val="22"/>
          <w:shd w:val="clear" w:color="auto" w:fill="FFFFFF"/>
          <w:lang w:val="uk-UA"/>
        </w:rPr>
      </w:pPr>
      <w:r w:rsidRPr="00A92C17">
        <w:rPr>
          <w:b/>
          <w:sz w:val="22"/>
          <w:szCs w:val="22"/>
          <w:shd w:val="clear" w:color="auto" w:fill="FFFFFF"/>
          <w:lang w:val="uk-UA"/>
        </w:rPr>
        <w:t xml:space="preserve">НА </w:t>
      </w:r>
      <w:r w:rsidR="0001541B">
        <w:rPr>
          <w:b/>
          <w:sz w:val="22"/>
          <w:szCs w:val="22"/>
          <w:shd w:val="clear" w:color="auto" w:fill="FFFFFF"/>
          <w:lang w:val="uk-UA"/>
        </w:rPr>
        <w:t>ЗАКУПІВЛЮ МЕБЛІВ</w:t>
      </w:r>
      <w:r w:rsidR="006A1E41">
        <w:rPr>
          <w:b/>
          <w:sz w:val="22"/>
          <w:szCs w:val="22"/>
          <w:shd w:val="clear" w:color="auto" w:fill="FFFFFF"/>
          <w:lang w:val="uk-UA"/>
        </w:rPr>
        <w:t xml:space="preserve"> </w:t>
      </w:r>
      <w:r w:rsidR="006A1E41" w:rsidRPr="00DC1295">
        <w:rPr>
          <w:b/>
          <w:sz w:val="22"/>
          <w:szCs w:val="22"/>
          <w:shd w:val="clear" w:color="auto" w:fill="FFFFFF"/>
        </w:rPr>
        <w:t>(</w:t>
      </w:r>
      <w:r w:rsidR="006A1E41">
        <w:rPr>
          <w:b/>
          <w:sz w:val="22"/>
          <w:szCs w:val="22"/>
          <w:shd w:val="clear" w:color="auto" w:fill="FFFFFF"/>
          <w:lang w:val="uk-UA"/>
        </w:rPr>
        <w:t xml:space="preserve">м. </w:t>
      </w:r>
      <w:r w:rsidR="008A7AF8">
        <w:rPr>
          <w:b/>
          <w:sz w:val="22"/>
          <w:szCs w:val="22"/>
          <w:shd w:val="clear" w:color="auto" w:fill="FFFFFF"/>
          <w:lang w:val="uk-UA"/>
        </w:rPr>
        <w:t>Суми</w:t>
      </w:r>
      <w:r w:rsidR="006A1E41">
        <w:rPr>
          <w:b/>
          <w:sz w:val="22"/>
          <w:szCs w:val="22"/>
          <w:shd w:val="clear" w:color="auto" w:fill="FFFFFF"/>
          <w:lang w:val="uk-UA"/>
        </w:rPr>
        <w:t>)</w:t>
      </w:r>
    </w:p>
    <w:p w14:paraId="246CF692" w14:textId="62A8A90F"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52655D">
        <w:rPr>
          <w:b/>
          <w:sz w:val="22"/>
          <w:szCs w:val="22"/>
          <w:u w:val="single"/>
          <w:lang w:val="uk-UA"/>
        </w:rPr>
        <w:t>16</w:t>
      </w:r>
      <w:r w:rsidR="008841C2" w:rsidRPr="00535EDF">
        <w:rPr>
          <w:b/>
          <w:sz w:val="22"/>
          <w:szCs w:val="22"/>
          <w:u w:val="single"/>
          <w:lang w:val="uk-UA"/>
        </w:rPr>
        <w:t>.</w:t>
      </w:r>
      <w:r w:rsidR="00C41A37">
        <w:rPr>
          <w:b/>
          <w:sz w:val="22"/>
          <w:szCs w:val="22"/>
          <w:u w:val="single"/>
          <w:lang w:val="uk-UA"/>
        </w:rPr>
        <w:t>10</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28D6EAE"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bookmarkStart w:id="3" w:name="_Hlk145666512"/>
      <w:bookmarkStart w:id="4" w:name="_Hlk145666698"/>
      <w:r w:rsidR="0001541B">
        <w:rPr>
          <w:sz w:val="21"/>
          <w:szCs w:val="21"/>
          <w:lang w:val="uk-UA"/>
        </w:rPr>
        <w:t>виробництві/продажу меблів</w:t>
      </w:r>
      <w:bookmarkEnd w:id="3"/>
      <w:bookmarkEnd w:id="4"/>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2655D">
        <w:rPr>
          <w:sz w:val="21"/>
          <w:szCs w:val="21"/>
          <w:lang w:val="en-US"/>
        </w:rPr>
        <w:t>OCHA</w:t>
      </w:r>
      <w:r w:rsidR="0001541B">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0C211CC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r w:rsidR="0001541B">
        <w:rPr>
          <w:rFonts w:ascii="Times New Roman" w:hAnsi="Times New Roman"/>
          <w:sz w:val="21"/>
          <w:szCs w:val="21"/>
          <w:lang w:val="uk-UA"/>
        </w:rPr>
        <w:t>закупівля меблів для потреб Фонду</w:t>
      </w:r>
      <w:r w:rsidR="00A92C17">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53F104F4"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xml:space="preserve">.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B467BA" w:rsidRDefault="0079696D" w:rsidP="008C4A49">
      <w:pPr>
        <w:pStyle w:val="a4"/>
        <w:numPr>
          <w:ilvl w:val="0"/>
          <w:numId w:val="33"/>
        </w:numPr>
        <w:ind w:left="720"/>
        <w:rPr>
          <w:rFonts w:ascii="Times New Roman" w:hAnsi="Times New Roman"/>
          <w:sz w:val="21"/>
          <w:szCs w:val="21"/>
          <w:lang w:val="uk-UA"/>
        </w:rPr>
      </w:pPr>
      <w:r w:rsidRPr="00B467BA">
        <w:rPr>
          <w:rFonts w:ascii="Times New Roman" w:hAnsi="Times New Roman"/>
          <w:sz w:val="21"/>
          <w:szCs w:val="21"/>
          <w:lang w:val="uk-UA"/>
        </w:rPr>
        <w:t>Учасник повинен бути суб’є</w:t>
      </w:r>
      <w:r w:rsidR="00654061" w:rsidRPr="00B467BA">
        <w:rPr>
          <w:rFonts w:ascii="Times New Roman" w:hAnsi="Times New Roman"/>
          <w:sz w:val="21"/>
          <w:szCs w:val="21"/>
          <w:lang w:val="uk-UA"/>
        </w:rPr>
        <w:t>ктом підприємницької діяльності</w:t>
      </w:r>
      <w:r w:rsidR="002B5381" w:rsidRPr="00B467BA">
        <w:rPr>
          <w:rFonts w:ascii="Times New Roman" w:hAnsi="Times New Roman"/>
          <w:sz w:val="21"/>
          <w:szCs w:val="21"/>
          <w:lang w:val="uk-UA"/>
        </w:rPr>
        <w:t xml:space="preserve"> згідно Українського законодавства</w:t>
      </w:r>
      <w:r w:rsidR="00654061" w:rsidRPr="00B467BA">
        <w:rPr>
          <w:rFonts w:ascii="Times New Roman" w:hAnsi="Times New Roman"/>
          <w:sz w:val="21"/>
          <w:szCs w:val="21"/>
          <w:lang w:val="uk-UA"/>
        </w:rPr>
        <w:t>.</w:t>
      </w:r>
    </w:p>
    <w:p w14:paraId="1D2DE5C1" w14:textId="6405C5EA" w:rsidR="00FE1F75" w:rsidRPr="00B467BA" w:rsidRDefault="0079696D" w:rsidP="008C4A49">
      <w:pPr>
        <w:pStyle w:val="a4"/>
        <w:numPr>
          <w:ilvl w:val="0"/>
          <w:numId w:val="33"/>
        </w:numPr>
        <w:ind w:left="720"/>
        <w:jc w:val="both"/>
        <w:rPr>
          <w:rFonts w:ascii="Times New Roman" w:hAnsi="Times New Roman"/>
          <w:sz w:val="21"/>
          <w:szCs w:val="21"/>
          <w:lang w:val="uk-UA"/>
        </w:rPr>
      </w:pPr>
      <w:r w:rsidRPr="00B467BA">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B467BA">
        <w:rPr>
          <w:rFonts w:ascii="Times New Roman" w:hAnsi="Times New Roman"/>
          <w:sz w:val="21"/>
          <w:szCs w:val="21"/>
        </w:rPr>
        <w:t xml:space="preserve"> </w:t>
      </w:r>
      <w:r w:rsidR="00302232" w:rsidRPr="00B467BA">
        <w:rPr>
          <w:rFonts w:ascii="Times New Roman" w:hAnsi="Times New Roman"/>
          <w:sz w:val="21"/>
          <w:szCs w:val="21"/>
          <w:lang w:val="uk-UA"/>
        </w:rPr>
        <w:t>(</w:t>
      </w:r>
      <w:r w:rsidR="004B3F87" w:rsidRPr="00B467BA">
        <w:rPr>
          <w:rFonts w:ascii="Times New Roman" w:hAnsi="Times New Roman"/>
          <w:sz w:val="21"/>
          <w:szCs w:val="21"/>
          <w:lang w:val="uk-UA"/>
        </w:rPr>
        <w:t>Перевіряється</w:t>
      </w:r>
      <w:r w:rsidR="00D611F8" w:rsidRPr="00B467BA">
        <w:rPr>
          <w:rFonts w:ascii="Times New Roman" w:hAnsi="Times New Roman"/>
          <w:sz w:val="21"/>
          <w:szCs w:val="21"/>
          <w:lang w:val="uk-UA"/>
        </w:rPr>
        <w:t xml:space="preserve"> співробітникам</w:t>
      </w:r>
      <w:r w:rsidR="00A4267C" w:rsidRPr="00B467BA">
        <w:rPr>
          <w:rFonts w:ascii="Times New Roman" w:hAnsi="Times New Roman"/>
          <w:sz w:val="21"/>
          <w:szCs w:val="21"/>
          <w:lang w:val="uk-UA"/>
        </w:rPr>
        <w:t>и</w:t>
      </w:r>
      <w:r w:rsidR="001238B6" w:rsidRPr="00B467BA">
        <w:rPr>
          <w:rFonts w:ascii="Times New Roman" w:hAnsi="Times New Roman"/>
          <w:sz w:val="21"/>
          <w:szCs w:val="21"/>
          <w:lang w:val="uk-UA"/>
        </w:rPr>
        <w:t xml:space="preserve"> Ф</w:t>
      </w:r>
      <w:r w:rsidR="00D611F8" w:rsidRPr="00B467BA">
        <w:rPr>
          <w:rFonts w:ascii="Times New Roman" w:hAnsi="Times New Roman"/>
          <w:sz w:val="21"/>
          <w:szCs w:val="21"/>
          <w:lang w:val="uk-UA"/>
        </w:rPr>
        <w:t>онду через відкриті офіційні джерела)</w:t>
      </w:r>
      <w:r w:rsidR="00654061" w:rsidRPr="00B467BA">
        <w:rPr>
          <w:rFonts w:ascii="Times New Roman" w:hAnsi="Times New Roman"/>
          <w:sz w:val="21"/>
          <w:szCs w:val="21"/>
          <w:lang w:val="uk-UA"/>
        </w:rPr>
        <w:t>.</w:t>
      </w:r>
    </w:p>
    <w:p w14:paraId="4C869ADE" w14:textId="13378CF6" w:rsidR="00B467BA" w:rsidRPr="00B467BA" w:rsidRDefault="00B467BA" w:rsidP="008C4A49">
      <w:pPr>
        <w:ind w:left="360"/>
        <w:jc w:val="both"/>
        <w:rPr>
          <w:sz w:val="21"/>
          <w:szCs w:val="21"/>
          <w:lang w:val="uk-UA"/>
        </w:rPr>
      </w:pPr>
      <w:r w:rsidRPr="00B467BA">
        <w:rPr>
          <w:sz w:val="21"/>
          <w:szCs w:val="21"/>
          <w:lang w:val="uk-UA"/>
        </w:rPr>
        <w:t>Технічно якісні вимоги:</w:t>
      </w:r>
    </w:p>
    <w:p w14:paraId="105C7A0B"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Якісні та екологічні матеріали</w:t>
      </w:r>
    </w:p>
    <w:p w14:paraId="46C2A328"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Стійкість до навантажень та деформацій</w:t>
      </w:r>
    </w:p>
    <w:p w14:paraId="19049A0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proofErr w:type="spellStart"/>
      <w:r w:rsidRPr="00B467BA">
        <w:rPr>
          <w:rFonts w:eastAsia="Calibri"/>
          <w:sz w:val="21"/>
          <w:szCs w:val="21"/>
          <w:lang w:val="uk-UA" w:eastAsia="en-US"/>
        </w:rPr>
        <w:t>Гіпоалергенність</w:t>
      </w:r>
      <w:proofErr w:type="spellEnd"/>
      <w:r w:rsidRPr="00B467BA">
        <w:rPr>
          <w:rFonts w:eastAsia="Calibri"/>
          <w:sz w:val="21"/>
          <w:szCs w:val="21"/>
          <w:lang w:val="uk-UA" w:eastAsia="en-US"/>
        </w:rPr>
        <w:t xml:space="preserve"> та гігієнічність</w:t>
      </w:r>
    </w:p>
    <w:p w14:paraId="6095567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Практичність</w:t>
      </w:r>
    </w:p>
    <w:p w14:paraId="5C229986"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Універсальність</w:t>
      </w:r>
    </w:p>
    <w:p w14:paraId="36688D69"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Якість та міцність конструкцій</w:t>
      </w:r>
    </w:p>
    <w:p w14:paraId="3AC7B16B" w14:textId="77777777" w:rsidR="00B467BA" w:rsidRPr="0001541B" w:rsidRDefault="00B467BA" w:rsidP="00B467BA">
      <w:pPr>
        <w:pStyle w:val="a4"/>
        <w:ind w:left="1080"/>
        <w:jc w:val="both"/>
        <w:rPr>
          <w:rFonts w:ascii="Times New Roman" w:hAnsi="Times New Roman"/>
          <w:sz w:val="21"/>
          <w:szCs w:val="21"/>
          <w:highlight w:val="yellow"/>
          <w:lang w:val="uk-UA"/>
        </w:rPr>
      </w:pPr>
    </w:p>
    <w:p w14:paraId="573FDF8B" w14:textId="486FBCB9" w:rsidR="00701E4A" w:rsidRPr="0001541B" w:rsidRDefault="00701E4A" w:rsidP="0001541B">
      <w:pPr>
        <w:jc w:val="both"/>
        <w:rPr>
          <w:color w:val="333333"/>
          <w:sz w:val="21"/>
          <w:szCs w:val="21"/>
          <w:lang w:val="uk-UA"/>
        </w:rPr>
      </w:pPr>
    </w:p>
    <w:p w14:paraId="01A7EE43" w14:textId="77777777" w:rsidR="00701E4A" w:rsidRPr="00643E4E" w:rsidRDefault="00701E4A"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353EF9EF" w14:textId="77777777" w:rsidR="0052655D" w:rsidRPr="00643E4E" w:rsidRDefault="0052655D" w:rsidP="0052655D">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43E4E">
        <w:rPr>
          <w:rFonts w:ascii="Times New Roman" w:hAnsi="Times New Roman"/>
          <w:color w:val="333333"/>
          <w:sz w:val="21"/>
          <w:szCs w:val="21"/>
          <w:lang w:val="uk-UA"/>
        </w:rPr>
        <w:t xml:space="preserve"> Валюта виконання взаєморозрахунків - українська гривня.</w:t>
      </w:r>
    </w:p>
    <w:p w14:paraId="4C07103B" w14:textId="77777777" w:rsidR="0052655D" w:rsidRPr="00643E4E" w:rsidRDefault="0052655D" w:rsidP="0052655D">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46068013" w14:textId="77777777" w:rsidR="0052655D" w:rsidRPr="00643E4E" w:rsidRDefault="0052655D" w:rsidP="0052655D">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026C2E2D" w14:textId="77777777" w:rsidR="0052655D" w:rsidRPr="00643E4E" w:rsidRDefault="0052655D" w:rsidP="0052655D">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Pr="00643E4E">
        <w:rPr>
          <w:rFonts w:ascii="Times New Roman" w:hAnsi="Times New Roman"/>
          <w:sz w:val="21"/>
          <w:szCs w:val="21"/>
          <w:lang w:val="uk-UA"/>
        </w:rPr>
        <w:t>комп’ютерну</w:t>
      </w:r>
      <w:r>
        <w:rPr>
          <w:rFonts w:ascii="Times New Roman" w:hAnsi="Times New Roman"/>
          <w:sz w:val="21"/>
          <w:szCs w:val="21"/>
          <w:lang w:val="uk-UA"/>
        </w:rPr>
        <w:t xml:space="preserve"> </w:t>
      </w:r>
      <w:r w:rsidRPr="00643E4E">
        <w:rPr>
          <w:rFonts w:ascii="Times New Roman" w:hAnsi="Times New Roman"/>
          <w:sz w:val="21"/>
          <w:szCs w:val="21"/>
          <w:lang w:val="uk-UA"/>
        </w:rPr>
        <w:t>та</w:t>
      </w:r>
      <w:r>
        <w:rPr>
          <w:rFonts w:ascii="Times New Roman" w:hAnsi="Times New Roman"/>
          <w:sz w:val="21"/>
          <w:szCs w:val="21"/>
          <w:lang w:val="uk-UA"/>
        </w:rPr>
        <w:t xml:space="preserve"> </w:t>
      </w:r>
      <w:r w:rsidRPr="00643E4E">
        <w:rPr>
          <w:rFonts w:ascii="Times New Roman" w:hAnsi="Times New Roman"/>
          <w:sz w:val="21"/>
          <w:szCs w:val="21"/>
          <w:lang w:val="uk-UA"/>
        </w:rPr>
        <w:t>побутову техніку</w:t>
      </w:r>
      <w:r w:rsidRPr="00643E4E">
        <w:rPr>
          <w:rFonts w:ascii="Times New Roman" w:hAnsi="Times New Roman"/>
          <w:color w:val="333333"/>
          <w:sz w:val="21"/>
          <w:szCs w:val="21"/>
          <w:lang w:val="uk-UA"/>
        </w:rPr>
        <w:t xml:space="preserve"> повинна бути зафіксована в український гривні до кінця</w:t>
      </w:r>
      <w:r>
        <w:rPr>
          <w:rFonts w:ascii="Times New Roman" w:hAnsi="Times New Roman"/>
          <w:color w:val="333333"/>
          <w:sz w:val="21"/>
          <w:szCs w:val="21"/>
          <w:lang w:val="uk-UA"/>
        </w:rPr>
        <w:t xml:space="preserve"> поточного</w:t>
      </w:r>
      <w:r w:rsidRPr="00643E4E">
        <w:rPr>
          <w:rFonts w:ascii="Times New Roman" w:hAnsi="Times New Roman"/>
          <w:color w:val="333333"/>
          <w:sz w:val="21"/>
          <w:szCs w:val="21"/>
          <w:lang w:val="uk-UA"/>
        </w:rPr>
        <w:t xml:space="preserve"> року</w:t>
      </w:r>
      <w:r>
        <w:rPr>
          <w:rFonts w:ascii="Times New Roman" w:hAnsi="Times New Roman"/>
          <w:color w:val="333333"/>
          <w:sz w:val="21"/>
          <w:szCs w:val="21"/>
          <w:lang w:val="uk-UA"/>
        </w:rPr>
        <w:t xml:space="preserve"> а саме 31.12.2023 року</w:t>
      </w:r>
      <w:r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 xml:space="preserve">цій </w:t>
      </w:r>
      <w:proofErr w:type="spellStart"/>
      <w:r w:rsidR="00736416" w:rsidRPr="00643E4E">
        <w:rPr>
          <w:rFonts w:ascii="Times New Roman" w:hAnsi="Times New Roman"/>
          <w:color w:val="333333"/>
          <w:sz w:val="21"/>
          <w:szCs w:val="21"/>
          <w:lang w:val="uk-UA"/>
        </w:rPr>
        <w:t>внести</w:t>
      </w:r>
      <w:proofErr w:type="spellEnd"/>
      <w:r w:rsidR="00736416" w:rsidRPr="00643E4E">
        <w:rPr>
          <w:rFonts w:ascii="Times New Roman" w:hAnsi="Times New Roman"/>
          <w:color w:val="333333"/>
          <w:sz w:val="21"/>
          <w:szCs w:val="21"/>
          <w:lang w:val="uk-UA"/>
        </w:rPr>
        <w:t xml:space="preserve">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69396EB9" w14:textId="77777777" w:rsidR="0052655D" w:rsidRPr="00D14124" w:rsidRDefault="0052655D" w:rsidP="0052655D">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35AE22A" w14:textId="77777777" w:rsidR="0052655D" w:rsidRPr="00643E4E" w:rsidRDefault="0052655D" w:rsidP="0052655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0A312F7" w14:textId="2DAA3D68"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C41A37">
        <w:rPr>
          <w:rFonts w:ascii="Times New Roman" w:hAnsi="Times New Roman"/>
          <w:b/>
          <w:i/>
          <w:sz w:val="21"/>
          <w:szCs w:val="21"/>
          <w:u w:val="single"/>
          <w:lang w:val="uk-UA"/>
        </w:rPr>
        <w:t>16</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10</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B1B5FEE"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543BEAE7"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Технічної пропозиції (Додато</w:t>
      </w:r>
      <w:bookmarkStart w:id="5" w:name="_GoBack"/>
      <w:bookmarkEnd w:id="5"/>
      <w:r w:rsidRPr="00643E4E">
        <w:rPr>
          <w:rFonts w:ascii="Times New Roman" w:hAnsi="Times New Roman"/>
          <w:sz w:val="21"/>
          <w:szCs w:val="21"/>
          <w:lang w:val="uk-UA"/>
        </w:rPr>
        <w:t xml:space="preserve">к 1) </w:t>
      </w:r>
    </w:p>
    <w:p w14:paraId="19AF77A9"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7B8E5CC4"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1F89CB42" w14:textId="77777777" w:rsidR="0052655D" w:rsidRPr="00643E4E" w:rsidRDefault="0052655D" w:rsidP="0052655D">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044766CA" w14:textId="77777777" w:rsidR="0052655D" w:rsidRPr="00643E4E" w:rsidRDefault="0052655D" w:rsidP="0052655D">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Pr>
          <w:rFonts w:ascii="Times New Roman" w:hAnsi="Times New Roman"/>
          <w:sz w:val="21"/>
          <w:szCs w:val="21"/>
          <w:lang w:val="uk-UA"/>
        </w:rPr>
        <w:t>учасника</w:t>
      </w:r>
      <w:r w:rsidRPr="00643E4E">
        <w:rPr>
          <w:rFonts w:ascii="Times New Roman" w:hAnsi="Times New Roman"/>
          <w:sz w:val="21"/>
          <w:szCs w:val="21"/>
          <w:lang w:val="uk-UA"/>
        </w:rPr>
        <w:t xml:space="preserve"> (Свідоцтво про державну реєстрацію, Витяг з ЄДРПОУ та Свідоцтво платника ПДВ (за наявності)</w:t>
      </w:r>
    </w:p>
    <w:p w14:paraId="423F159F" w14:textId="77777777" w:rsidR="0052655D" w:rsidRPr="00643E4E" w:rsidRDefault="0052655D" w:rsidP="0052655D">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(гарантійні документи, сертифікати якості та інші</w:t>
      </w:r>
      <w:r>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Pr>
          <w:rFonts w:ascii="Times New Roman" w:hAnsi="Times New Roman"/>
          <w:sz w:val="21"/>
          <w:szCs w:val="21"/>
          <w:lang w:val="uk-UA"/>
        </w:rPr>
        <w:t>.</w:t>
      </w:r>
    </w:p>
    <w:p w14:paraId="092D3E1F"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7B4D812"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5FD1F5D7" w14:textId="77777777" w:rsidR="0052655D" w:rsidRPr="00643E4E" w:rsidRDefault="0052655D" w:rsidP="0052655D">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w:t>
      </w:r>
      <w:r>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1BA42DBC" w14:textId="14D12801" w:rsidR="00701E4A" w:rsidRDefault="00701E4A" w:rsidP="00701E4A">
      <w:pPr>
        <w:pStyle w:val="a4"/>
        <w:ind w:left="1080"/>
        <w:jc w:val="both"/>
        <w:rPr>
          <w:rFonts w:ascii="Times New Roman" w:hAnsi="Times New Roman"/>
          <w:sz w:val="21"/>
          <w:szCs w:val="21"/>
          <w:lang w:val="uk-UA"/>
        </w:rPr>
      </w:pPr>
    </w:p>
    <w:p w14:paraId="36F85B3F" w14:textId="70D15228" w:rsidR="0052655D" w:rsidRDefault="0052655D" w:rsidP="00701E4A">
      <w:pPr>
        <w:pStyle w:val="a4"/>
        <w:ind w:left="1080"/>
        <w:jc w:val="both"/>
        <w:rPr>
          <w:rFonts w:ascii="Times New Roman" w:hAnsi="Times New Roman"/>
          <w:sz w:val="21"/>
          <w:szCs w:val="21"/>
          <w:lang w:val="uk-UA"/>
        </w:rPr>
      </w:pPr>
    </w:p>
    <w:p w14:paraId="2949B34E" w14:textId="77777777" w:rsidR="0052655D" w:rsidRPr="00643E4E" w:rsidRDefault="0052655D" w:rsidP="00701E4A">
      <w:pPr>
        <w:pStyle w:val="a4"/>
        <w:ind w:left="1080"/>
        <w:jc w:val="both"/>
        <w:rPr>
          <w:rFonts w:ascii="Times New Roman" w:hAnsi="Times New Roman"/>
          <w:sz w:val="21"/>
          <w:szCs w:val="21"/>
          <w:lang w:val="uk-UA"/>
        </w:rPr>
      </w:pP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3B3FD2FE" w:rsidR="002830CD" w:rsidRDefault="002830CD" w:rsidP="002830CD">
      <w:pPr>
        <w:pStyle w:val="a4"/>
        <w:ind w:left="1080"/>
        <w:jc w:val="both"/>
        <w:rPr>
          <w:rFonts w:ascii="Times New Roman" w:hAnsi="Times New Roman"/>
          <w:color w:val="333333"/>
          <w:sz w:val="21"/>
          <w:szCs w:val="21"/>
          <w:lang w:val="uk-UA"/>
        </w:rPr>
      </w:pPr>
    </w:p>
    <w:p w14:paraId="1A8E3A09" w14:textId="77777777" w:rsidR="003844F2" w:rsidRPr="00643E4E" w:rsidRDefault="003844F2"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10"/>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B3C3" w14:textId="77777777" w:rsidR="00790065" w:rsidRDefault="00790065" w:rsidP="00FA4D7E">
      <w:r>
        <w:separator/>
      </w:r>
    </w:p>
  </w:endnote>
  <w:endnote w:type="continuationSeparator" w:id="0">
    <w:p w14:paraId="3DA44BBB" w14:textId="77777777" w:rsidR="00790065" w:rsidRDefault="0079006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9006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67DB" w14:textId="77777777" w:rsidR="00790065" w:rsidRDefault="00790065" w:rsidP="00FA4D7E">
      <w:r>
        <w:separator/>
      </w:r>
    </w:p>
  </w:footnote>
  <w:footnote w:type="continuationSeparator" w:id="0">
    <w:p w14:paraId="23240A25" w14:textId="77777777" w:rsidR="00790065" w:rsidRDefault="0079006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E2A"/>
    <w:multiLevelType w:val="multilevel"/>
    <w:tmpl w:val="96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3"/>
  </w:num>
  <w:num w:numId="5">
    <w:abstractNumId w:val="13"/>
  </w:num>
  <w:num w:numId="6">
    <w:abstractNumId w:val="10"/>
  </w:num>
  <w:num w:numId="7">
    <w:abstractNumId w:val="7"/>
  </w:num>
  <w:num w:numId="8">
    <w:abstractNumId w:val="37"/>
  </w:num>
  <w:num w:numId="9">
    <w:abstractNumId w:val="22"/>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0"/>
  </w:num>
  <w:num w:numId="19">
    <w:abstractNumId w:val="20"/>
  </w:num>
  <w:num w:numId="20">
    <w:abstractNumId w:val="18"/>
  </w:num>
  <w:num w:numId="21">
    <w:abstractNumId w:val="15"/>
  </w:num>
  <w:num w:numId="22">
    <w:abstractNumId w:val="23"/>
  </w:num>
  <w:num w:numId="23">
    <w:abstractNumId w:val="5"/>
  </w:num>
  <w:num w:numId="24">
    <w:abstractNumId w:val="2"/>
  </w:num>
  <w:num w:numId="25">
    <w:abstractNumId w:val="24"/>
  </w:num>
  <w:num w:numId="26">
    <w:abstractNumId w:val="28"/>
  </w:num>
  <w:num w:numId="27">
    <w:abstractNumId w:val="21"/>
  </w:num>
  <w:num w:numId="28">
    <w:abstractNumId w:val="38"/>
  </w:num>
  <w:num w:numId="29">
    <w:abstractNumId w:val="17"/>
  </w:num>
  <w:num w:numId="30">
    <w:abstractNumId w:val="36"/>
  </w:num>
  <w:num w:numId="31">
    <w:abstractNumId w:val="39"/>
  </w:num>
  <w:num w:numId="32">
    <w:abstractNumId w:val="30"/>
  </w:num>
  <w:num w:numId="33">
    <w:abstractNumId w:val="31"/>
  </w:num>
  <w:num w:numId="34">
    <w:abstractNumId w:val="11"/>
  </w:num>
  <w:num w:numId="35">
    <w:abstractNumId w:val="14"/>
  </w:num>
  <w:num w:numId="36">
    <w:abstractNumId w:val="26"/>
  </w:num>
  <w:num w:numId="37">
    <w:abstractNumId w:val="35"/>
  </w:num>
  <w:num w:numId="38">
    <w:abstractNumId w:val="32"/>
  </w:num>
  <w:num w:numId="39">
    <w:abstractNumId w:val="27"/>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541B"/>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2C96"/>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3B7D"/>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37238"/>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44F2"/>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55D"/>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0C3"/>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1E41"/>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0065"/>
    <w:rsid w:val="00791BC5"/>
    <w:rsid w:val="00791F7A"/>
    <w:rsid w:val="00792512"/>
    <w:rsid w:val="0079500F"/>
    <w:rsid w:val="0079696D"/>
    <w:rsid w:val="00797602"/>
    <w:rsid w:val="00797BF7"/>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3194"/>
    <w:rsid w:val="00856277"/>
    <w:rsid w:val="008614AE"/>
    <w:rsid w:val="0086233D"/>
    <w:rsid w:val="00864B36"/>
    <w:rsid w:val="008704A3"/>
    <w:rsid w:val="008741B5"/>
    <w:rsid w:val="008753F4"/>
    <w:rsid w:val="00881A08"/>
    <w:rsid w:val="00882BFE"/>
    <w:rsid w:val="008841C2"/>
    <w:rsid w:val="00884219"/>
    <w:rsid w:val="0088565A"/>
    <w:rsid w:val="0088597D"/>
    <w:rsid w:val="00890216"/>
    <w:rsid w:val="00890F0E"/>
    <w:rsid w:val="008921A0"/>
    <w:rsid w:val="00897542"/>
    <w:rsid w:val="008A09BE"/>
    <w:rsid w:val="008A19A0"/>
    <w:rsid w:val="008A6D67"/>
    <w:rsid w:val="008A7AF8"/>
    <w:rsid w:val="008B1D99"/>
    <w:rsid w:val="008B2C20"/>
    <w:rsid w:val="008B3790"/>
    <w:rsid w:val="008B5E57"/>
    <w:rsid w:val="008B711F"/>
    <w:rsid w:val="008B76FA"/>
    <w:rsid w:val="008C469B"/>
    <w:rsid w:val="008C4A49"/>
    <w:rsid w:val="008C4A5E"/>
    <w:rsid w:val="008C7885"/>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467B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1A37"/>
    <w:rsid w:val="00C42EB1"/>
    <w:rsid w:val="00C43218"/>
    <w:rsid w:val="00C433BD"/>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37240"/>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2511189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A08-6119-469B-812E-888F51A6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88</TotalTime>
  <Pages>3</Pages>
  <Words>3442</Words>
  <Characters>1963</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23</cp:revision>
  <cp:lastPrinted>2023-09-15T13:28:00Z</cp:lastPrinted>
  <dcterms:created xsi:type="dcterms:W3CDTF">2023-09-15T07:43:00Z</dcterms:created>
  <dcterms:modified xsi:type="dcterms:W3CDTF">2023-10-06T13:23:00Z</dcterms:modified>
</cp:coreProperties>
</file>