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03F0E0CF" w:rsidR="00E34C6A" w:rsidRPr="007718CB" w:rsidRDefault="00873B6C"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7718CB" w:rsidRPr="007718CB">
        <w:rPr>
          <w:b/>
          <w:color w:val="008000"/>
        </w:rPr>
        <w:t xml:space="preserve"> </w:t>
      </w:r>
      <w:r w:rsidR="007718CB">
        <w:rPr>
          <w:b/>
          <w:color w:val="008000"/>
          <w:lang w:val="uk-UA"/>
        </w:rPr>
        <w:t>УВКБ ООН</w:t>
      </w:r>
    </w:p>
    <w:p w14:paraId="246CF68F" w14:textId="019CA21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7718CB">
        <w:rPr>
          <w:b/>
          <w:sz w:val="20"/>
          <w:szCs w:val="20"/>
          <w:shd w:val="clear" w:color="auto" w:fill="FFFFFF"/>
          <w:lang w:val="uk-UA"/>
        </w:rPr>
        <w:t>01</w:t>
      </w:r>
      <w:r w:rsidR="00410442" w:rsidRPr="00285B89">
        <w:rPr>
          <w:b/>
          <w:sz w:val="20"/>
          <w:szCs w:val="20"/>
          <w:shd w:val="clear" w:color="auto" w:fill="FFFFFF"/>
          <w:lang w:val="uk-UA"/>
        </w:rPr>
        <w:t>.</w:t>
      </w:r>
      <w:r w:rsidR="00E34C6A">
        <w:rPr>
          <w:b/>
          <w:sz w:val="20"/>
          <w:szCs w:val="20"/>
          <w:shd w:val="clear" w:color="auto" w:fill="FFFFFF"/>
          <w:lang w:val="uk-UA"/>
        </w:rPr>
        <w:t>1</w:t>
      </w:r>
      <w:r w:rsidR="007718CB">
        <w:rPr>
          <w:b/>
          <w:sz w:val="20"/>
          <w:szCs w:val="20"/>
          <w:shd w:val="clear" w:color="auto" w:fill="FFFFFF"/>
          <w:lang w:val="uk-UA"/>
        </w:rPr>
        <w:t>1</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00409A2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7718CB">
        <w:rPr>
          <w:b/>
          <w:sz w:val="22"/>
          <w:szCs w:val="22"/>
          <w:shd w:val="clear" w:color="auto" w:fill="FFFFFF"/>
          <w:lang w:val="en-US"/>
        </w:rPr>
        <w:t>RFQ</w:t>
      </w:r>
      <w:r w:rsidRPr="00643E4E">
        <w:rPr>
          <w:b/>
          <w:sz w:val="22"/>
          <w:szCs w:val="22"/>
          <w:shd w:val="clear" w:color="auto" w:fill="FFFFFF"/>
        </w:rPr>
        <w:t xml:space="preserve"> </w:t>
      </w:r>
      <w:r w:rsidR="007718CB" w:rsidRPr="007718CB">
        <w:rPr>
          <w:b/>
          <w:sz w:val="22"/>
          <w:szCs w:val="22"/>
          <w:shd w:val="clear" w:color="auto" w:fill="FFFFFF"/>
        </w:rPr>
        <w:t>01</w:t>
      </w:r>
      <w:r w:rsidR="0060144A" w:rsidRPr="00643E4E">
        <w:rPr>
          <w:b/>
          <w:sz w:val="22"/>
          <w:szCs w:val="22"/>
          <w:shd w:val="clear" w:color="auto" w:fill="FFFFFF"/>
          <w:lang w:val="uk-UA"/>
        </w:rPr>
        <w:t>_</w:t>
      </w:r>
      <w:r w:rsidR="00E34C6A">
        <w:rPr>
          <w:b/>
          <w:sz w:val="22"/>
          <w:szCs w:val="22"/>
          <w:shd w:val="clear" w:color="auto" w:fill="FFFFFF"/>
          <w:lang w:val="uk-UA"/>
        </w:rPr>
        <w:t>1</w:t>
      </w:r>
      <w:r w:rsidR="007718CB" w:rsidRPr="007718CB">
        <w:rPr>
          <w:b/>
          <w:sz w:val="22"/>
          <w:szCs w:val="22"/>
          <w:shd w:val="clear" w:color="auto" w:fill="FFFFFF"/>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5A884AA2" w14:textId="64B747B6" w:rsidR="007718CB" w:rsidRDefault="00E56EC2" w:rsidP="007718CB">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w:t>
      </w:r>
      <w:r w:rsidR="007718CB" w:rsidRPr="007718CB">
        <w:rPr>
          <w:b/>
          <w:sz w:val="22"/>
          <w:szCs w:val="22"/>
          <w:shd w:val="clear" w:color="auto" w:fill="FFFFFF"/>
          <w:lang w:val="uk-UA"/>
        </w:rPr>
        <w:t>НА ЗАКУПІВЛЮ СВІТЛОВІДБИВНИХ БРАСЛЕТІВ ДЛЯ ПОТРЕБ</w:t>
      </w:r>
      <w:r w:rsidR="007718CB" w:rsidRPr="007718CB">
        <w:rPr>
          <w:b/>
          <w:sz w:val="22"/>
          <w:szCs w:val="22"/>
          <w:shd w:val="clear" w:color="auto" w:fill="FFFFFF"/>
        </w:rPr>
        <w:t xml:space="preserve"> </w:t>
      </w:r>
      <w:r w:rsidR="007718CB">
        <w:rPr>
          <w:b/>
          <w:sz w:val="22"/>
          <w:szCs w:val="22"/>
          <w:shd w:val="clear" w:color="auto" w:fill="FFFFFF"/>
          <w:lang w:val="uk-UA"/>
        </w:rPr>
        <w:t>БЛАГОДІЙНОЇ ОРГАНІЗАЦІЇ «БЛАГОДІЙНИЙ ФОНД «РОКАДА»</w:t>
      </w:r>
      <w:r w:rsidR="007718CB" w:rsidRPr="007718CB">
        <w:rPr>
          <w:b/>
          <w:sz w:val="22"/>
          <w:szCs w:val="22"/>
          <w:shd w:val="clear" w:color="auto" w:fill="FFFFFF"/>
          <w:lang w:val="uk-UA"/>
        </w:rPr>
        <w:t xml:space="preserve"> за проектом УВКБ ООН</w:t>
      </w:r>
    </w:p>
    <w:p w14:paraId="246CF692" w14:textId="7E81F45B" w:rsidR="008841C2" w:rsidRPr="00F07F1F" w:rsidRDefault="005B6DC6" w:rsidP="007718CB">
      <w:pPr>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873B6C">
        <w:rPr>
          <w:b/>
          <w:sz w:val="22"/>
          <w:szCs w:val="22"/>
          <w:u w:val="single"/>
          <w:lang w:val="uk-UA"/>
        </w:rPr>
        <w:t>06</w:t>
      </w:r>
      <w:r w:rsidR="008841C2" w:rsidRPr="00F07F1F">
        <w:rPr>
          <w:b/>
          <w:sz w:val="22"/>
          <w:szCs w:val="22"/>
          <w:u w:val="single"/>
          <w:lang w:val="uk-UA"/>
        </w:rPr>
        <w:t>.</w:t>
      </w:r>
      <w:r w:rsidR="00C44BCE">
        <w:rPr>
          <w:b/>
          <w:sz w:val="22"/>
          <w:szCs w:val="22"/>
          <w:u w:val="single"/>
          <w:lang w:val="uk-UA"/>
        </w:rPr>
        <w:t>1</w:t>
      </w:r>
      <w:r w:rsidR="00873B6C">
        <w:rPr>
          <w:b/>
          <w:sz w:val="22"/>
          <w:szCs w:val="22"/>
          <w:u w:val="single"/>
          <w:lang w:val="uk-UA"/>
        </w:rPr>
        <w:t>1</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89F59DD"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proofErr w:type="spellStart"/>
      <w:r w:rsidR="007718CB">
        <w:rPr>
          <w:sz w:val="21"/>
          <w:szCs w:val="21"/>
          <w:lang w:val="uk-UA"/>
        </w:rPr>
        <w:t>світловідбивних</w:t>
      </w:r>
      <w:proofErr w:type="spellEnd"/>
      <w:r w:rsidR="007718CB">
        <w:rPr>
          <w:sz w:val="21"/>
          <w:szCs w:val="21"/>
          <w:lang w:val="uk-UA"/>
        </w:rPr>
        <w:t xml:space="preserve"> браслетів з друком логотипу</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7718CB">
        <w:rPr>
          <w:sz w:val="21"/>
          <w:szCs w:val="21"/>
          <w:lang w:val="uk-UA"/>
        </w:rPr>
        <w:t xml:space="preserve"> </w:t>
      </w:r>
      <w:r w:rsidR="007718CB">
        <w:rPr>
          <w:sz w:val="21"/>
          <w:szCs w:val="21"/>
          <w:lang w:val="uk-UA"/>
        </w:rPr>
        <w:t>УВКБ ООН</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5882947" w:rsidR="00B07976" w:rsidRPr="004F00D7" w:rsidRDefault="00066B23"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w:t>
      </w:r>
      <w:proofErr w:type="spellStart"/>
      <w:r w:rsidR="007718CB">
        <w:rPr>
          <w:rFonts w:ascii="Times New Roman" w:hAnsi="Times New Roman"/>
          <w:sz w:val="21"/>
          <w:szCs w:val="21"/>
          <w:lang w:val="uk-UA"/>
        </w:rPr>
        <w:t>світловідбивн</w:t>
      </w:r>
      <w:r w:rsidR="0085585F">
        <w:rPr>
          <w:rFonts w:ascii="Times New Roman" w:hAnsi="Times New Roman"/>
          <w:sz w:val="21"/>
          <w:szCs w:val="21"/>
          <w:lang w:val="uk-UA"/>
        </w:rPr>
        <w:t>их</w:t>
      </w:r>
      <w:proofErr w:type="spellEnd"/>
      <w:r w:rsidR="0085585F">
        <w:rPr>
          <w:rFonts w:ascii="Times New Roman" w:hAnsi="Times New Roman"/>
          <w:sz w:val="21"/>
          <w:szCs w:val="21"/>
          <w:lang w:val="uk-UA"/>
        </w:rPr>
        <w:t xml:space="preserve"> браслетів з друком логотипу</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4F00D7">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53C22843" w:rsidR="00D90808" w:rsidRPr="004F00D7" w:rsidRDefault="008704A3" w:rsidP="004F00D7">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7734CADD" w14:textId="77777777" w:rsidR="0085585F" w:rsidRDefault="0085585F" w:rsidP="0085585F">
      <w:pPr>
        <w:pStyle w:val="a4"/>
        <w:numPr>
          <w:ilvl w:val="0"/>
          <w:numId w:val="36"/>
        </w:numPr>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електронну адресу  </w:t>
      </w:r>
      <w:r>
        <w:rPr>
          <w:rFonts w:ascii="Times New Roman" w:hAnsi="Times New Roman"/>
          <w:b/>
          <w:color w:val="0070C0"/>
          <w:sz w:val="21"/>
          <w:szCs w:val="21"/>
          <w:u w:val="single"/>
          <w:lang w:val="en-US"/>
        </w:rPr>
        <w:t>d</w:t>
      </w:r>
      <w:r>
        <w:rPr>
          <w:rFonts w:ascii="Times New Roman" w:hAnsi="Times New Roman"/>
          <w:b/>
          <w:color w:val="0070C0"/>
          <w:sz w:val="21"/>
          <w:szCs w:val="21"/>
          <w:u w:val="single"/>
          <w:lang w:val="uk-UA"/>
        </w:rPr>
        <w:t>.</w:t>
      </w:r>
      <w:r>
        <w:rPr>
          <w:rFonts w:ascii="Times New Roman" w:hAnsi="Times New Roman"/>
          <w:b/>
          <w:color w:val="0070C0"/>
          <w:sz w:val="21"/>
          <w:szCs w:val="21"/>
          <w:u w:val="single"/>
          <w:lang w:val="en-US"/>
        </w:rPr>
        <w:t>zots</w:t>
      </w:r>
      <w:r>
        <w:rPr>
          <w:rFonts w:ascii="Times New Roman" w:hAnsi="Times New Roman"/>
          <w:b/>
          <w:color w:val="0070C0"/>
          <w:sz w:val="21"/>
          <w:szCs w:val="21"/>
          <w:u w:val="single"/>
          <w:lang w:val="uk-UA"/>
        </w:rPr>
        <w:t>@rokada.org.ua</w:t>
      </w:r>
      <w:r>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4D09CB">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644A465E" w:rsidR="00BD71E4" w:rsidRDefault="00BD71E4" w:rsidP="00BD71E4">
      <w:pPr>
        <w:pStyle w:val="a4"/>
        <w:numPr>
          <w:ilvl w:val="0"/>
          <w:numId w:val="43"/>
        </w:numPr>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Pr>
          <w:rFonts w:ascii="Times New Roman" w:hAnsi="Times New Roman"/>
          <w:b/>
          <w:i/>
          <w:sz w:val="21"/>
          <w:szCs w:val="21"/>
          <w:u w:val="single"/>
          <w:lang w:val="uk-UA"/>
        </w:rPr>
        <w:t xml:space="preserve">06.11.2023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6EF04E1B" w:rsidR="00BD71E4"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17A27CA8" w:rsidR="00FA5F49" w:rsidRP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219482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0519C8C3" w14:textId="5CCABF4C" w:rsidR="00BD71E4" w:rsidRDefault="00BD71E4" w:rsidP="00BD71E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49378315"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0523AA9F" w14:textId="2719ECB8" w:rsidR="00BD71E4" w:rsidRDefault="00BD71E4" w:rsidP="00BD71E4">
      <w:pPr>
        <w:pStyle w:val="a4"/>
        <w:numPr>
          <w:ilvl w:val="0"/>
          <w:numId w:val="43"/>
        </w:numPr>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BD71E4">
      <w:pPr>
        <w:pStyle w:val="a4"/>
        <w:numPr>
          <w:ilvl w:val="0"/>
          <w:numId w:val="36"/>
        </w:numPr>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43A1DD47" w:rsidR="00BD71E4" w:rsidRDefault="00BD71E4" w:rsidP="00BD71E4">
      <w:pPr>
        <w:ind w:left="720"/>
        <w:jc w:val="both"/>
        <w:rPr>
          <w:b/>
          <w:sz w:val="21"/>
          <w:szCs w:val="21"/>
          <w:lang w:val="uk-UA"/>
        </w:rPr>
      </w:pPr>
      <w:bookmarkStart w:id="1" w:name="_Hlk149667747"/>
      <w:r>
        <w:rPr>
          <w:sz w:val="21"/>
          <w:szCs w:val="21"/>
          <w:lang w:val="uk-UA"/>
        </w:rPr>
        <w:t xml:space="preserve">Закупівля </w:t>
      </w:r>
      <w:proofErr w:type="spellStart"/>
      <w:r w:rsidR="004D09CB">
        <w:rPr>
          <w:sz w:val="21"/>
          <w:szCs w:val="21"/>
          <w:lang w:val="uk-UA"/>
        </w:rPr>
        <w:t>світловідбивних</w:t>
      </w:r>
      <w:proofErr w:type="spellEnd"/>
      <w:r w:rsidR="004D09CB">
        <w:rPr>
          <w:sz w:val="21"/>
          <w:szCs w:val="21"/>
          <w:lang w:val="uk-UA"/>
        </w:rPr>
        <w:t xml:space="preserve"> браслетів з друком логотипу</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sidRPr="004D09CB">
        <w:rPr>
          <w:sz w:val="21"/>
          <w:szCs w:val="21"/>
        </w:rPr>
        <w:t>процесу</w:t>
      </w:r>
      <w:proofErr w:type="spellEnd"/>
      <w:r w:rsidRPr="004D09CB">
        <w:rPr>
          <w:sz w:val="21"/>
          <w:szCs w:val="21"/>
        </w:rPr>
        <w:t xml:space="preserve">. </w:t>
      </w:r>
      <w:bookmarkStart w:id="2" w:name="_GoBack"/>
      <w:bookmarkEnd w:id="2"/>
    </w:p>
    <w:p w14:paraId="39300D67" w14:textId="77777777" w:rsidR="00BD71E4" w:rsidRDefault="00BD71E4" w:rsidP="00BD71E4">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BD71E4">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w:t>
      </w:r>
      <w:r>
        <w:rPr>
          <w:rFonts w:ascii="Times New Roman" w:hAnsi="Times New Roman"/>
          <w:sz w:val="21"/>
          <w:szCs w:val="21"/>
          <w:lang w:val="uk-UA"/>
        </w:rPr>
        <w:lastRenderedPageBreak/>
        <w:t>терміну подачі заявок на участь у тендері</w:t>
      </w:r>
    </w:p>
    <w:p w14:paraId="233C30C6" w14:textId="77777777"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BD71E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299307C" w:rsidR="00BD71E4" w:rsidRDefault="00BD71E4" w:rsidP="00BD71E4">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 xml:space="preserve">Розгляд Фінансової пропозиції Додаток </w:t>
      </w:r>
      <w:r w:rsidR="00600672">
        <w:rPr>
          <w:b/>
          <w:sz w:val="21"/>
          <w:szCs w:val="21"/>
          <w:u w:val="single"/>
          <w:lang w:val="uk-UA"/>
        </w:rPr>
        <w:t>2</w:t>
      </w:r>
      <w:r>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Pr>
          <w:b/>
          <w:sz w:val="21"/>
          <w:szCs w:val="21"/>
          <w:u w:val="single"/>
          <w:lang w:val="uk-UA"/>
        </w:rPr>
        <w:t xml:space="preserve"> Технічна пропозиція.</w:t>
      </w:r>
    </w:p>
    <w:bookmarkEnd w:id="1"/>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0DE3" w14:textId="77777777" w:rsidR="00965741" w:rsidRDefault="00965741" w:rsidP="00FA4D7E">
      <w:r>
        <w:separator/>
      </w:r>
    </w:p>
  </w:endnote>
  <w:endnote w:type="continuationSeparator" w:id="0">
    <w:p w14:paraId="2CBC9A1C" w14:textId="77777777" w:rsidR="00965741" w:rsidRDefault="0096574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6574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E85D8" w14:textId="77777777" w:rsidR="00965741" w:rsidRDefault="00965741" w:rsidP="00FA4D7E">
      <w:r>
        <w:separator/>
      </w:r>
    </w:p>
  </w:footnote>
  <w:footnote w:type="continuationSeparator" w:id="0">
    <w:p w14:paraId="67911016" w14:textId="77777777" w:rsidR="00965741" w:rsidRDefault="0096574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9CB"/>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18CB"/>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585F"/>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5741"/>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D71E4"/>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17C1"/>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5555"/>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61547199">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6F2B-0BEA-47BD-A085-721977DB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64</TotalTime>
  <Pages>3</Pages>
  <Words>4255</Words>
  <Characters>2426</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2020-01-22T13:06:00Z</cp:lastPrinted>
  <dcterms:created xsi:type="dcterms:W3CDTF">2023-09-20T08:20:00Z</dcterms:created>
  <dcterms:modified xsi:type="dcterms:W3CDTF">2023-11-01T07:57:00Z</dcterms:modified>
</cp:coreProperties>
</file>