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06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199833" cy="750974"/>
            <wp:effectExtent l="0" t="0" r="0" b="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33" cy="750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999933" cy="690242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933" cy="690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314133" cy="417185"/>
            <wp:effectExtent l="0" t="0" r="0" b="0"/>
            <wp:docPr id="22" name="image2.png" descr="0-02-05-00634a23782b90eafdc0c698b52933c9f6704d7e51330edccbac53bb4dea9675_182bc7691abf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0-02-05-00634a23782b90eafdc0c698b52933c9f6704d7e51330edccbac53bb4dea9675_182bc7691abf533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1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3430422</wp:posOffset>
            </wp:positionH>
            <wp:positionV relativeFrom="paragraph">
              <wp:posOffset>257175</wp:posOffset>
            </wp:positionV>
            <wp:extent cx="1255877" cy="464503"/>
            <wp:effectExtent l="0" t="0" r="0" b="0"/>
            <wp:wrapSquare wrapText="bothSides" distT="19050" distB="19050" distL="19050" distR="1905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877" cy="464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Додаток 1.1 Огляд проекту</w:t>
      </w: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тендеру Благодійної організації "Благодійний фонд "РОКАДА"</w:t>
      </w: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highlight w:val="red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RFP </w:t>
      </w:r>
      <w:r w:rsidR="008E4ACD"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15/08/24</w:t>
      </w:r>
    </w:p>
    <w:bookmarkEnd w:id="0"/>
    <w:p w:rsidR="00612FAD" w:rsidRDefault="00061F4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для УКЛАДЕННЯ РАМКОВОГО ДОГОВОРУ(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) НА ПОСЛУГИ ЕКСПЕРТНОЇ ПІДТРИМКИ ДЛЯ ОРГАНІЗАЦІЙ ГРОМАДЯНСЬКОГО СУСПІЛЬСТВА В СУМСЬКІЙ, ХАРКІВСЬКІЙ ТА ДНІПРОПЕТРОВСЬКІЙ ОБЛАСТЯХ   </w:t>
      </w:r>
    </w:p>
    <w:p w:rsidR="00612FAD" w:rsidRDefault="00061F4C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“Посилення через Єдність: Підтримка зміцнення потенціалу місцевих ГО в Сумській,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Харківській, Дніпропетровській областях” здійснюється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мультидонорського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«Посилення потенціалу спільнот на півдні та сході України через місцеві ініціативи (EMPOWER)», що фінансується Федеральним міністерством економічного співробітництва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розвитку (BMZ)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(GIZ)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ГмбХ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12FAD" w:rsidRDefault="00612F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Мета проекту:</w:t>
      </w:r>
      <w:r>
        <w:rPr>
          <w:rFonts w:ascii="Times New Roman" w:eastAsia="Times New Roman" w:hAnsi="Times New Roman" w:cs="Times New Roman"/>
          <w:color w:val="000000"/>
        </w:rPr>
        <w:t xml:space="preserve"> Посилити організаційну спроможність </w:t>
      </w:r>
      <w:r>
        <w:rPr>
          <w:rFonts w:ascii="Times New Roman" w:eastAsia="Times New Roman" w:hAnsi="Times New Roman" w:cs="Times New Roman"/>
          <w:color w:val="000000"/>
        </w:rPr>
        <w:t>місцевих організацій громадянського суспільства (далі – ОГС), що працюють у Сумській, Харківській та Дніпропетровській областях України, шляхом визначення проблематики розвитку певних ОГС та відповідно до цього - проведення тренінгів, консультацій, менторс</w:t>
      </w:r>
      <w:r>
        <w:rPr>
          <w:rFonts w:ascii="Times New Roman" w:eastAsia="Times New Roman" w:hAnsi="Times New Roman" w:cs="Times New Roman"/>
          <w:color w:val="000000"/>
        </w:rPr>
        <w:t>ької підтримки, передачі знань, розвитку навичок та створення мережі для горизонтальної комунікації та співпраці з місцевими органами влади. 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Основні принципи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Розбудова потенціалу, організаційний розвиток та посилення організацій громадянського суспільства під час реалізації проектів відбувається через наставництво, навчальні заходи, розвиток навичок, налагодження контактів та передачу знань. Основні компоненти </w:t>
      </w:r>
      <w:r>
        <w:rPr>
          <w:rFonts w:ascii="Times New Roman" w:eastAsia="Times New Roman" w:hAnsi="Times New Roman" w:cs="Times New Roman"/>
        </w:rPr>
        <w:t>методології наставництва включають: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Сприяння навчанню за принципом «рівний-рівному». Наставництво заохочує обмін знаннями між ОГС та їхніми партнерами.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Підхід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 xml:space="preserve"> фокусується на розвитку та використанні існуючих сильних сторін ОГС. Замість того,</w:t>
      </w:r>
      <w:r>
        <w:rPr>
          <w:rFonts w:ascii="Times New Roman" w:eastAsia="Times New Roman" w:hAnsi="Times New Roman" w:cs="Times New Roman"/>
        </w:rPr>
        <w:t xml:space="preserve"> щоб просто виявляти прогалини, він спрямований на посилення та використання поточних можливостей організації. Особливу роль у розвитку сильних сторін ОГС відіграють експерти.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Сприяння розвитку </w:t>
      </w:r>
      <w:proofErr w:type="spellStart"/>
      <w:r>
        <w:rPr>
          <w:rFonts w:ascii="Times New Roman" w:eastAsia="Times New Roman" w:hAnsi="Times New Roman" w:cs="Times New Roman"/>
        </w:rPr>
        <w:t>зв'язків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 Цей підхід сприяє співпраці між місце</w:t>
      </w:r>
      <w:r>
        <w:rPr>
          <w:rFonts w:ascii="Times New Roman" w:eastAsia="Times New Roman" w:hAnsi="Times New Roman" w:cs="Times New Roman"/>
        </w:rPr>
        <w:t>вими та національними суб'єктами. Розвиваючи партнерства, ОГС можуть доповнювати зусилля одна одної та створювати більш згуртований та впливовий сектор громадянського суспільства.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Досягнення мети </w:t>
      </w:r>
      <w:r>
        <w:rPr>
          <w:rFonts w:ascii="Times New Roman" w:eastAsia="Times New Roman" w:hAnsi="Times New Roman" w:cs="Times New Roman"/>
          <w:b/>
        </w:rPr>
        <w:t>проекту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забезпечується за рахунок реалізації наступних етапі</w:t>
      </w:r>
      <w:r>
        <w:rPr>
          <w:rFonts w:ascii="Times New Roman" w:eastAsia="Times New Roman" w:hAnsi="Times New Roman" w:cs="Times New Roman"/>
          <w:b/>
          <w:color w:val="000000"/>
        </w:rPr>
        <w:t>в: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1. Розробка методології оцінки спроможності діяльності ОГС.</w:t>
      </w:r>
    </w:p>
    <w:p w:rsidR="00612FAD" w:rsidRDefault="00061F4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розробку відповідає залучена команда експертів з 3 осіб, які мають експертизу у одній із сфер: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Стратегічне та операційне управління в неприбуткових організаціях.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Соціальна допом</w:t>
      </w:r>
      <w:r>
        <w:rPr>
          <w:rFonts w:ascii="Times New Roman" w:eastAsia="Times New Roman" w:hAnsi="Times New Roman" w:cs="Times New Roman"/>
        </w:rPr>
        <w:t>ога вразливим верствам населення.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Фандрайзинг та управління проектами.</w:t>
      </w:r>
    </w:p>
    <w:p w:rsidR="00612FAD" w:rsidRDefault="00612FAD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</w:rPr>
      </w:pPr>
    </w:p>
    <w:p w:rsidR="00612FAD" w:rsidRDefault="00612FA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Розроблена методологія оцінки </w:t>
      </w:r>
      <w:proofErr w:type="spellStart"/>
      <w:r>
        <w:rPr>
          <w:rFonts w:ascii="Times New Roman" w:eastAsia="Times New Roman" w:hAnsi="Times New Roman" w:cs="Times New Roman"/>
        </w:rPr>
        <w:t>спроможностіОГС</w:t>
      </w:r>
      <w:proofErr w:type="spellEnd"/>
      <w:r>
        <w:rPr>
          <w:rFonts w:ascii="Times New Roman" w:eastAsia="Times New Roman" w:hAnsi="Times New Roman" w:cs="Times New Roman"/>
        </w:rPr>
        <w:t xml:space="preserve"> має </w:t>
      </w:r>
      <w:proofErr w:type="spellStart"/>
      <w:r>
        <w:rPr>
          <w:rFonts w:ascii="Times New Roman" w:eastAsia="Times New Roman" w:hAnsi="Times New Roman" w:cs="Times New Roman"/>
        </w:rPr>
        <w:t>грунтуватися</w:t>
      </w:r>
      <w:proofErr w:type="spellEnd"/>
      <w:r>
        <w:rPr>
          <w:rFonts w:ascii="Times New Roman" w:eastAsia="Times New Roman" w:hAnsi="Times New Roman" w:cs="Times New Roman"/>
        </w:rPr>
        <w:t xml:space="preserve"> основі визначеного переліку компонентів та сфер потенціалу обраних ОГС: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Місія та стратегічне планування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Структура пр</w:t>
      </w:r>
      <w:r>
        <w:rPr>
          <w:rFonts w:ascii="Times New Roman" w:eastAsia="Times New Roman" w:hAnsi="Times New Roman" w:cs="Times New Roman"/>
        </w:rPr>
        <w:t xml:space="preserve">авління та стилі управління 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Спроможність адаптуватись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Партнерство та співпраця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Роль в секторі 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послуг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Фінансова життєздатність та мобілізація ресурсів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Вплив та </w:t>
      </w:r>
      <w:proofErr w:type="spellStart"/>
      <w:r>
        <w:rPr>
          <w:rFonts w:ascii="Times New Roman" w:eastAsia="Times New Roman" w:hAnsi="Times New Roman" w:cs="Times New Roman"/>
        </w:rPr>
        <w:t>візабіліті</w:t>
      </w:r>
      <w:proofErr w:type="spellEnd"/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Безпека ОГС</w:t>
      </w:r>
    </w:p>
    <w:p w:rsidR="00612FAD" w:rsidRDefault="00612FA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2. Проведення навчання для менторів.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Залучена команда експертів з 3 осіб проводить навчання для команди менторів по проведенню методики оцінювання спроможності діяльності ОГС відповідно до розробленої та затвердженої методології оцінки.</w:t>
      </w:r>
    </w:p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3. Початкова оцінка ОГС.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залучених менторі</w:t>
      </w:r>
      <w:r>
        <w:rPr>
          <w:rFonts w:ascii="Times New Roman" w:eastAsia="Times New Roman" w:hAnsi="Times New Roman" w:cs="Times New Roman"/>
        </w:rPr>
        <w:t>в проводить оцінку спроможності діяльності ОГС відповідно до наступних стадій: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Технічна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статутів, стратегій, політик та інших ключових документів кожної організації у відповідності до затвердженого переліку (чек-</w:t>
      </w:r>
      <w:proofErr w:type="spellStart"/>
      <w:r>
        <w:rPr>
          <w:rFonts w:ascii="Times New Roman" w:eastAsia="Times New Roman" w:hAnsi="Times New Roman" w:cs="Times New Roman"/>
        </w:rPr>
        <w:t>лісту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</w:rPr>
        <w:t>ування профілю кожної організації на основі зібраних документів.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Профіль кожної організації, що включає аналіз наявних документів та виявлені сильні та слабкі сторони.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Індивідуальна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та розповсюдження опитувальник</w:t>
      </w:r>
      <w:r>
        <w:rPr>
          <w:rFonts w:ascii="Times New Roman" w:eastAsia="Times New Roman" w:hAnsi="Times New Roman" w:cs="Times New Roman"/>
        </w:rPr>
        <w:t>а/анкет серед команди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відповідей для виявлення ключових аспектів діяльності та поточних викликів.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 стадії: Загальний звіт по кожній організації, що включає оцінку внутрішніх </w:t>
      </w:r>
      <w:proofErr w:type="spellStart"/>
      <w:r>
        <w:rPr>
          <w:rFonts w:ascii="Times New Roman" w:eastAsia="Times New Roman" w:hAnsi="Times New Roman" w:cs="Times New Roman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</w:rPr>
        <w:t xml:space="preserve"> та виявлені потреби ОГС на осно</w:t>
      </w:r>
      <w:r>
        <w:rPr>
          <w:rFonts w:ascii="Times New Roman" w:eastAsia="Times New Roman" w:hAnsi="Times New Roman" w:cs="Times New Roman"/>
        </w:rPr>
        <w:t xml:space="preserve">ві результатів </w:t>
      </w:r>
      <w:proofErr w:type="spellStart"/>
      <w:r>
        <w:rPr>
          <w:rFonts w:ascii="Times New Roman" w:eastAsia="Times New Roman" w:hAnsi="Times New Roman" w:cs="Times New Roman"/>
        </w:rPr>
        <w:t>опитника</w:t>
      </w:r>
      <w:proofErr w:type="spellEnd"/>
      <w:r>
        <w:rPr>
          <w:rFonts w:ascii="Times New Roman" w:eastAsia="Times New Roman" w:hAnsi="Times New Roman" w:cs="Times New Roman"/>
        </w:rPr>
        <w:t xml:space="preserve"> команди.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Експертна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Візит ментора до місця діяльності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Спілкування з керівництвом та командою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Проведення фокус-групи з використанням чек-листа питань по розробленій методології.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Звіт експерта, що включає спостереження, висновки та рекомендації на основі живого спілкування та оцінки діяльності організації.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4. Розробка рекомендацій та планів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Аналіз менторами даних та інформації, зібраних під час пер</w:t>
      </w:r>
      <w:r>
        <w:rPr>
          <w:rFonts w:ascii="Times New Roman" w:eastAsia="Times New Roman" w:hAnsi="Times New Roman" w:cs="Times New Roman"/>
        </w:rPr>
        <w:t>винної оцінки.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Ментори аналізують </w:t>
      </w:r>
      <w:proofErr w:type="spellStart"/>
      <w:r>
        <w:rPr>
          <w:rFonts w:ascii="Times New Roman" w:eastAsia="Times New Roman" w:hAnsi="Times New Roman" w:cs="Times New Roman"/>
        </w:rPr>
        <w:t>результатипервинної</w:t>
      </w:r>
      <w:proofErr w:type="spellEnd"/>
      <w:r>
        <w:rPr>
          <w:rFonts w:ascii="Times New Roman" w:eastAsia="Times New Roman" w:hAnsi="Times New Roman" w:cs="Times New Roman"/>
        </w:rPr>
        <w:t xml:space="preserve"> оцінки </w:t>
      </w:r>
      <w:proofErr w:type="spellStart"/>
      <w:r>
        <w:rPr>
          <w:rFonts w:ascii="Times New Roman" w:eastAsia="Times New Roman" w:hAnsi="Times New Roman" w:cs="Times New Roman"/>
        </w:rPr>
        <w:t>спроможностіОГС</w:t>
      </w:r>
      <w:proofErr w:type="spellEnd"/>
      <w:r>
        <w:rPr>
          <w:rFonts w:ascii="Times New Roman" w:eastAsia="Times New Roman" w:hAnsi="Times New Roman" w:cs="Times New Roman"/>
        </w:rPr>
        <w:t>. Визначено пріоритетні напрямки розвитку спроможності ОГС та сфери, які потребують менторської та експертної підтримки. Підготовлено звіти для кожної ОГС.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Розробка короткостр</w:t>
      </w:r>
      <w:r>
        <w:rPr>
          <w:rFonts w:ascii="Times New Roman" w:eastAsia="Times New Roman" w:hAnsi="Times New Roman" w:cs="Times New Roman"/>
        </w:rPr>
        <w:t>окових та довгострокових рекомендацій.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основі результатів первинної оцінки та аналізу ОГС, ментори разом з керівниками ОГС розробляють короткострокові та довгострокові рекомендації. Рекомендації представлені у вигляді документа.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Розробка проекту Пл</w:t>
      </w:r>
      <w:r>
        <w:rPr>
          <w:rFonts w:ascii="Times New Roman" w:eastAsia="Times New Roman" w:hAnsi="Times New Roman" w:cs="Times New Roman"/>
        </w:rPr>
        <w:t>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Створена робоча група з числа залучених експертів та ментора ОГС розробляє кожної організації проект Плану дій на основі рекомендацій, наданих ментором.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Обговорення та деталізація проекту Плану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команди презентує проект Плану коман</w:t>
      </w:r>
      <w:r>
        <w:rPr>
          <w:rFonts w:ascii="Times New Roman" w:eastAsia="Times New Roman" w:hAnsi="Times New Roman" w:cs="Times New Roman"/>
        </w:rPr>
        <w:t>ді або працівникам ОГС для того, щоб надати можливість обговорити, прокоментувати та доповнити його.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Підписання Плану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Узгоджений варіант Плану дій підписує керівник ОГС. Твердження в Рекомендаціях та Плані дій повинні відповідати принципам SMART.</w:t>
      </w:r>
      <w:r>
        <w:rPr>
          <w:rFonts w:ascii="Times New Roman" w:eastAsia="Times New Roman" w:hAnsi="Times New Roman" w:cs="Times New Roman"/>
        </w:rPr>
        <w:t xml:space="preserve"> 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5. Реалізація планів дій. 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Надання індивідуальних консультацій щодо Плану дій.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надає індивідуальну допомогу ОГС-партнерам безпосередньо під час візитів (консультації, тренінги, семінари, майстер-класи, воркшопи) та дистанційно за допомогою телефону, електронної пошти, відеоконференцій тощо - документи, поради, роз'яснення. Мен</w:t>
      </w:r>
      <w:r>
        <w:rPr>
          <w:rFonts w:ascii="Times New Roman" w:eastAsia="Times New Roman" w:hAnsi="Times New Roman" w:cs="Times New Roman"/>
        </w:rPr>
        <w:t>тор визначає напрямки за проблематикою, в результаті чого Замовником будуть залучені додаткові експерти за фахом для індивідуальних консультацій ОГС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Розробка інформаційно-методичного електронного посібника.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Замовника разом з експертами та за у</w:t>
      </w:r>
      <w:r>
        <w:rPr>
          <w:rFonts w:ascii="Times New Roman" w:eastAsia="Times New Roman" w:hAnsi="Times New Roman" w:cs="Times New Roman"/>
        </w:rPr>
        <w:t>часті менторів розробляє інформаційно-методичний електронний посібник з рекомендаціями щодо посилення спроможності місцевих організацій громадянського суспільства.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Моніторинг процесу реалізації Плану дій.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Ментори та співробітники Замовника підтримують</w:t>
      </w:r>
      <w:r>
        <w:rPr>
          <w:rFonts w:ascii="Times New Roman" w:eastAsia="Times New Roman" w:hAnsi="Times New Roman" w:cs="Times New Roman"/>
        </w:rPr>
        <w:t xml:space="preserve"> постійний контакт, щоб інформувати один одного про хід виконання Плану дій, обговорювати та узгоджувати можливі необхідні зміни або коригування Плану дій.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6. Підсумкове оцінювання.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Фінальна оцінка ОГС. </w:t>
      </w:r>
    </w:p>
    <w:p w:rsidR="00612FAD" w:rsidRDefault="00061F4C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Ментори проводять фінальну оцінку спромож</w:t>
      </w:r>
      <w:r>
        <w:rPr>
          <w:rFonts w:ascii="Times New Roman" w:eastAsia="Times New Roman" w:hAnsi="Times New Roman" w:cs="Times New Roman"/>
        </w:rPr>
        <w:t xml:space="preserve">ності ОГС для моніторингу змін, впроваджених завдяки програмі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>, та порівняння початкової оцінки з фінальною за тією ж методологією, що і початкову оцінку. Результати фінального оцінювання задокументовані.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7. Звітність та документація</w:t>
      </w:r>
      <w:r>
        <w:rPr>
          <w:rFonts w:ascii="Times New Roman" w:eastAsia="Times New Roman" w:hAnsi="Times New Roman" w:cs="Times New Roman"/>
        </w:rPr>
        <w:t>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П</w:t>
      </w:r>
      <w:r>
        <w:rPr>
          <w:rFonts w:ascii="Times New Roman" w:eastAsia="Times New Roman" w:hAnsi="Times New Roman" w:cs="Times New Roman"/>
        </w:rPr>
        <w:t>ідготовка внутрішніх звітів - документів, сформульованих та створених в ході процесу менторського супроводу для кращого управління та розвитку діяльності ОГС.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Внутрішні звіти готуються як менторами, так і співробітниками Замовника.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Надання інформації </w:t>
      </w:r>
      <w:r>
        <w:rPr>
          <w:rFonts w:ascii="Times New Roman" w:eastAsia="Times New Roman" w:hAnsi="Times New Roman" w:cs="Times New Roman"/>
        </w:rPr>
        <w:t xml:space="preserve">для підготовки зовнішніх звітів - документів, які готуються для впровадження програми наставництва та для моніторингу реалізації програми наставництва. 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8. </w:t>
      </w:r>
      <w:proofErr w:type="spellStart"/>
      <w:r>
        <w:rPr>
          <w:rFonts w:ascii="Times New Roman" w:eastAsia="Times New Roman" w:hAnsi="Times New Roman" w:cs="Times New Roman"/>
          <w:b/>
        </w:rPr>
        <w:t>Нетворкінг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Візити до ОГС для обміну знаннями, кращими практиками та досвідом між ОГС.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Під час щонайменше одного візиту Замовник сприяє обміну знаннями, кращими практиками та досвідом між ОГС. У кожному візиті планується участь 12 представників ОГС, 3 менторів та 1 експерта. Завдяки взаємодії з колегами, менторами та експертом, ОГС зможуть </w:t>
      </w:r>
      <w:r>
        <w:rPr>
          <w:rFonts w:ascii="Times New Roman" w:eastAsia="Times New Roman" w:hAnsi="Times New Roman" w:cs="Times New Roman"/>
        </w:rPr>
        <w:t xml:space="preserve">отримати цінну інформацію про ефективні стратегії організаційного розвитку, управління програмами та </w:t>
      </w:r>
      <w:proofErr w:type="spellStart"/>
      <w:r>
        <w:rPr>
          <w:rFonts w:ascii="Times New Roman" w:eastAsia="Times New Roman" w:hAnsi="Times New Roman" w:cs="Times New Roman"/>
        </w:rPr>
        <w:t>адвокаційні</w:t>
      </w:r>
      <w:proofErr w:type="spellEnd"/>
      <w:r>
        <w:rPr>
          <w:rFonts w:ascii="Times New Roman" w:eastAsia="Times New Roman" w:hAnsi="Times New Roman" w:cs="Times New Roman"/>
        </w:rPr>
        <w:t xml:space="preserve"> зусилля. Кожен візит відбуватиметься під керівництвом ментора приймаючої ОГС.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Спільний захід партнерських ОГС з Дніпропетровської, Харківс</w:t>
      </w:r>
      <w:r>
        <w:rPr>
          <w:rFonts w:ascii="Times New Roman" w:eastAsia="Times New Roman" w:hAnsi="Times New Roman" w:cs="Times New Roman"/>
        </w:rPr>
        <w:t xml:space="preserve">ької, Сумської, Херсонської, Запорізької та Миколаївської областей.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Обговорення та підбиття підсумків реалізації проекту. Відбувається </w:t>
      </w:r>
      <w:proofErr w:type="spellStart"/>
      <w:r>
        <w:rPr>
          <w:rFonts w:ascii="Times New Roman" w:eastAsia="Times New Roman" w:hAnsi="Times New Roman" w:cs="Times New Roman"/>
        </w:rPr>
        <w:t>нетворкінг</w:t>
      </w:r>
      <w:proofErr w:type="spellEnd"/>
      <w:r>
        <w:rPr>
          <w:rFonts w:ascii="Times New Roman" w:eastAsia="Times New Roman" w:hAnsi="Times New Roman" w:cs="Times New Roman"/>
        </w:rPr>
        <w:t xml:space="preserve"> організацій, обмін досвідом, налагодження контактів тощо. Протягом триденного заходу всі учасники почергово п</w:t>
      </w:r>
      <w:r>
        <w:rPr>
          <w:rFonts w:ascii="Times New Roman" w:eastAsia="Times New Roman" w:hAnsi="Times New Roman" w:cs="Times New Roman"/>
        </w:rPr>
        <w:t>рацюватимуть як разом, так і в групах, рефлексуючи попередню роботу та розробляючи плани подальшої взаємодії. Групові тематичні активності проводитимуть ментори.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8.3. Фінальна онлайн-конференція для представлення результатів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. Проводиться фінальна </w:t>
      </w:r>
      <w:proofErr w:type="spellStart"/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нлайнконференція</w:t>
      </w:r>
      <w:proofErr w:type="spellEnd"/>
      <w:r>
        <w:rPr>
          <w:rFonts w:ascii="Times New Roman" w:eastAsia="Times New Roman" w:hAnsi="Times New Roman" w:cs="Times New Roman"/>
        </w:rPr>
        <w:t>, на якій презентуються результати проекту. Під час конференції інші ОГС заохочуються до співпраці з ОГС, які брали участь у проекті.</w:t>
      </w:r>
    </w:p>
    <w:p w:rsidR="00612FAD" w:rsidRDefault="00061F4C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Вищезазначене має привести до отримання наступного результату: 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надав місцевим ОГС стійкі навички та ресурси для самостійного зміцнення організаційної спроможності та продовження зусиль із залучення громадськості поза межами проекту. 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посприяв розвитку місцевої відповідальності та лідерства серед ОГС, над</w:t>
      </w:r>
      <w:r>
        <w:rPr>
          <w:rFonts w:ascii="Times New Roman" w:eastAsia="Times New Roman" w:hAnsi="Times New Roman" w:cs="Times New Roman"/>
        </w:rPr>
        <w:t>аючи їм можливість самостійно просувати ініціативи та відстоювати потреби громади.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</w:rPr>
        <w:t>підтримув</w:t>
      </w:r>
      <w:proofErr w:type="spellEnd"/>
      <w:r>
        <w:rPr>
          <w:rFonts w:ascii="Times New Roman" w:eastAsia="Times New Roman" w:hAnsi="Times New Roman" w:cs="Times New Roman"/>
        </w:rPr>
        <w:t xml:space="preserve"> створення стійких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мереж серед ОГС та із зовнішніми зацікавленими сторонами, сприяючи постійній співпраці, спільному використанню ресурсів та к</w:t>
      </w:r>
      <w:r>
        <w:rPr>
          <w:rFonts w:ascii="Times New Roman" w:eastAsia="Times New Roman" w:hAnsi="Times New Roman" w:cs="Times New Roman"/>
        </w:rPr>
        <w:t>олективним діям.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посилив спроможності ОГС мобілізувати ресурси на місцевому рівні та отримати доступ до можливостей фінансування, забезпечуючи таким чином фінансову стійкість та безперервність їхньої діяльності після завершення проекту.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Щонайменше 18 організацій громадянського суспільства, що працюють у Сумській, Харківській та Дніпропетровській областях України, значно покращили свою організаційну спроможність у сфері інституційного розвитку та тематичних напрямках своєї діяльності.</w:t>
      </w:r>
    </w:p>
    <w:p w:rsidR="00612FAD" w:rsidRDefault="00061F4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Розш</w:t>
      </w:r>
      <w:r>
        <w:rPr>
          <w:rFonts w:ascii="Times New Roman" w:eastAsia="Times New Roman" w:hAnsi="Times New Roman" w:cs="Times New Roman"/>
        </w:rPr>
        <w:t>ирені можливості мережевої взаємодії дозволяють щонайменше 15 ОГС, що працюють у Сумській, Харківській та Дніпропетровській областях України, налагоджувати зв'язки з іншими НУО, державними установами та міжнародними організаціями з метою встановлення та ро</w:t>
      </w:r>
      <w:r>
        <w:rPr>
          <w:rFonts w:ascii="Times New Roman" w:eastAsia="Times New Roman" w:hAnsi="Times New Roman" w:cs="Times New Roman"/>
        </w:rPr>
        <w:t xml:space="preserve">звитку ефективних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</w:t>
      </w: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 оглядом проекту ознайомлені,</w:t>
      </w:r>
    </w:p>
    <w:p w:rsidR="00612FAD" w:rsidRDefault="00061F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</w:p>
    <w:tbl>
      <w:tblPr>
        <w:tblStyle w:val="af9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555"/>
        <w:gridCol w:w="555"/>
      </w:tblGrid>
      <w:tr w:rsidR="00612FAD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ПІБ Учасника: ______________________________________________________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ПІБ Виконавця(-</w:t>
            </w:r>
            <w:proofErr w:type="spellStart"/>
            <w:r>
              <w:rPr>
                <w:rFonts w:ascii="Book Antiqua" w:eastAsia="Book Antiqua" w:hAnsi="Book Antiqua" w:cs="Book Antiqua"/>
              </w:rPr>
              <w:t>ів</w:t>
            </w:r>
            <w:proofErr w:type="spellEnd"/>
            <w:r>
              <w:rPr>
                <w:rFonts w:ascii="Book Antiqua" w:eastAsia="Book Antiqua" w:hAnsi="Book Antiqua" w:cs="Book Antiqua"/>
              </w:rPr>
              <w:t>)*: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</w:t>
            </w:r>
          </w:p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*у разі подання учасником пропозиції за декількома виконавцями, зазначаються усі</w:t>
            </w:r>
          </w:p>
        </w:tc>
      </w:tr>
      <w:tr w:rsidR="00612FAD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Електронна пошта та мобільний телефон</w:t>
            </w:r>
          </w:p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учасника______________________________________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612FAD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612FAD" w:rsidRDefault="00612FAD"/>
    <w:sectPr w:rsidR="00612FAD">
      <w:headerReference w:type="default" r:id="rId12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4C" w:rsidRDefault="00061F4C">
      <w:pPr>
        <w:spacing w:after="0" w:line="240" w:lineRule="auto"/>
      </w:pPr>
      <w:r>
        <w:separator/>
      </w:r>
    </w:p>
  </w:endnote>
  <w:endnote w:type="continuationSeparator" w:id="0">
    <w:p w:rsidR="00061F4C" w:rsidRDefault="0006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4C" w:rsidRDefault="00061F4C">
      <w:pPr>
        <w:spacing w:after="0" w:line="240" w:lineRule="auto"/>
      </w:pPr>
      <w:r>
        <w:separator/>
      </w:r>
    </w:p>
  </w:footnote>
  <w:footnote w:type="continuationSeparator" w:id="0">
    <w:p w:rsidR="00061F4C" w:rsidRDefault="0006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AD" w:rsidRDefault="00612F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1C9"/>
    <w:multiLevelType w:val="multilevel"/>
    <w:tmpl w:val="4B044A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C851865"/>
    <w:multiLevelType w:val="multilevel"/>
    <w:tmpl w:val="298EB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AD"/>
    <w:rsid w:val="00061F4C"/>
    <w:rsid w:val="00612FAD"/>
    <w:rsid w:val="008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84A5"/>
  <w15:docId w15:val="{528EA383-5859-419F-B8E9-5791AAD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paragraph" w:styleId="1">
    <w:name w:val="heading 1"/>
    <w:basedOn w:val="a"/>
    <w:next w:val="a"/>
    <w:link w:val="10"/>
    <w:uiPriority w:val="9"/>
    <w:qFormat/>
    <w:rsid w:val="0073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6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2680"/>
  </w:style>
  <w:style w:type="paragraph" w:styleId="a6">
    <w:name w:val="footer"/>
    <w:basedOn w:val="a"/>
    <w:link w:val="a7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2680"/>
  </w:style>
  <w:style w:type="table" w:styleId="a8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1 Буллет,AC List 01,заголовок 1.1,название табл/рис,Список уровня 2,List Paragraph (numbered (a)),List_Paragraph,Multilevel para_II,List Paragraph-ExecSummary,Akapit z listą BS,Bullets,List Paragraph 1,References,IBL List Paragraph"/>
    <w:basedOn w:val="a"/>
    <w:link w:val="aa"/>
    <w:uiPriority w:val="34"/>
    <w:qFormat/>
    <w:rsid w:val="00CD407A"/>
    <w:pPr>
      <w:ind w:left="720"/>
      <w:contextualSpacing/>
    </w:pPr>
  </w:style>
  <w:style w:type="character" w:customStyle="1" w:styleId="aa">
    <w:name w:val="Абзац списку Знак"/>
    <w:aliases w:val="1 Буллет Знак,AC List 01 Знак,заголовок 1.1 Знак,название табл/рис Знак,Список уровня 2 Знак,List Paragraph (numbered (a)) Знак,List_Paragraph Знак,Multilevel para_II Знак,List Paragraph-ExecSummary Знак,Akapit z listą BS Знак"/>
    <w:link w:val="a9"/>
    <w:uiPriority w:val="34"/>
    <w:rsid w:val="00CD407A"/>
  </w:style>
  <w:style w:type="paragraph" w:styleId="ab">
    <w:name w:val="Normal (Web)"/>
    <w:basedOn w:val="a"/>
    <w:uiPriority w:val="99"/>
    <w:unhideWhenUsed/>
    <w:rsid w:val="00A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6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Strong"/>
    <w:basedOn w:val="a0"/>
    <w:uiPriority w:val="22"/>
    <w:qFormat/>
    <w:rsid w:val="00D16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F2E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/sJP0ePIL+fxV6KxiGEtv2rgA==">CgMxLjA4AGolChRzdWdnZXN0LmlqOWV2bGNieGVtahINT2xla3NpaSBMeXNrYWolChRzdWdnZXN0LjR1NjNkaWZpdDZwORINT2xla3NpaSBMeXNrYWolChRzdWdnZXN0Lmx4c25jenF2Y2t2MBINT2xla3NpaSBMeXNrYWolChRzdWdnZXN0LnczczdkODgzbG5oNhINT2xla3NpaSBMeXNrYWolChRzdWdnZXN0LjFocG5wOHoydzNnNxINT2xla3NpaSBMeXNrYWolChRzdWdnZXN0Lm13MTl5bTI1dmttaxINT2xla3NpaSBMeXNrYWolChRzdWdnZXN0LnplcXRucXUxYzF5YxINT2xla3NpaSBMeXNrYWolChRzdWdnZXN0LjZvejZyN21tbGQyehINT2xla3NpaSBMeXNrYXIhMTRXRmowNVhoRGdPdkNPN3hNMEsxaTVMQmo1c09PRU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6714</Words>
  <Characters>3827</Characters>
  <Application>Microsoft Office Word</Application>
  <DocSecurity>0</DocSecurity>
  <Lines>31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2024-08-05T16:43:00Z</dcterms:created>
  <dcterms:modified xsi:type="dcterms:W3CDTF">2024-08-15T10:58:00Z</dcterms:modified>
</cp:coreProperties>
</file>