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744" w:rsidRDefault="0046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Додаток 1.2. Технічне завдання Виконавця</w:t>
      </w:r>
    </w:p>
    <w:p w:rsidR="005B5744" w:rsidRDefault="0046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до тендеру Благодійної організації "Благодійний фонд "РОКАДА"</w:t>
      </w:r>
    </w:p>
    <w:p w:rsidR="005B5744" w:rsidRPr="009704F6" w:rsidRDefault="00465D93" w:rsidP="009704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highlight w:val="re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RFP</w:t>
      </w:r>
      <w:r w:rsidR="009704F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bookmarkStart w:id="0" w:name="_GoBack"/>
      <w:r w:rsidR="009704F6" w:rsidRPr="008E4AC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15/08/24</w:t>
      </w:r>
      <w:bookmarkEnd w:id="0"/>
    </w:p>
    <w:p w:rsidR="005B5744" w:rsidRDefault="00465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re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для УКЛАДЕННЯ РАМКОВОГО ДОГОВОРУ(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) НА ПОСЛУГИ ЕКСПЕРТНОЇ ПІДТРИМКИ ДЛЯ ОРГАНІЗАЦІЙ ГРОМАДЯНСЬКОГО СУСПІЛЬСТВА В СУМСЬКІЙ, ХАРКІВСЬКІЙ ТА ДНІПРОПЕТРОВСЬКІЙ ОБЛАСТЯХ   </w:t>
      </w: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 xml:space="preserve"> </w:t>
      </w:r>
    </w:p>
    <w:p w:rsidR="005B5744" w:rsidRDefault="005B574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B5744" w:rsidRDefault="00465D9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“Посилення через Єдність: Підтримка зміцнення потенціалу місцевих ГО в Сумській, Харківській, Дніпропетровській областях” здійснюється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мультидонорського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«Посилення потенціалу спільнот на півдні та сході України через місцеві ініціативи (EMPOWER)», що фінансується Федеральним міністерством економічного співробітництва та розвитку (BMZ) спільно з Генеральним Директоратом Європейської Комісії з питань цивільного захисту та гуманітарної допомоги та реалізується Німецьким товариством міжнародного співробітництва (GIZ)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ГмбХ</w:t>
      </w:r>
      <w:proofErr w:type="spellEnd"/>
    </w:p>
    <w:p w:rsidR="005B5744" w:rsidRDefault="005B574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B5744" w:rsidRDefault="00465D9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1. Назва послуги: </w:t>
      </w:r>
      <w:r>
        <w:rPr>
          <w:rFonts w:ascii="Times New Roman" w:eastAsia="Times New Roman" w:hAnsi="Times New Roman" w:cs="Times New Roman"/>
          <w:highlight w:val="white"/>
        </w:rPr>
        <w:t>Експертна підтримка організацій громадянського суспільства (далі – ОГС) в Сумській, Харківській та Дніпропетровській областях.</w:t>
      </w:r>
    </w:p>
    <w:p w:rsidR="005B5744" w:rsidRDefault="00465D93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2. Тривалість надання послуги: </w:t>
      </w:r>
      <w:r>
        <w:rPr>
          <w:rFonts w:ascii="Times New Roman" w:eastAsia="Times New Roman" w:hAnsi="Times New Roman" w:cs="Times New Roman"/>
          <w:highlight w:val="white"/>
        </w:rPr>
        <w:t>вересень 2024 - липень 2025 року. Графік виконання погоджується із Замовником у ході реалізації Плану дій супроводу ОГС.</w:t>
      </w:r>
    </w:p>
    <w:p w:rsidR="005B5744" w:rsidRDefault="00465D9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>. Місце реалізації:</w:t>
      </w:r>
      <w:r>
        <w:rPr>
          <w:rFonts w:ascii="Times New Roman" w:eastAsia="Times New Roman" w:hAnsi="Times New Roman" w:cs="Times New Roman"/>
          <w:color w:val="000000"/>
        </w:rPr>
        <w:t xml:space="preserve"> Онлайн, а також участь фіз</w:t>
      </w:r>
      <w:r>
        <w:rPr>
          <w:rFonts w:ascii="Times New Roman" w:eastAsia="Times New Roman" w:hAnsi="Times New Roman" w:cs="Times New Roman"/>
        </w:rPr>
        <w:t>ична в спільному</w:t>
      </w:r>
      <w:r>
        <w:rPr>
          <w:rFonts w:ascii="Times New Roman" w:eastAsia="Times New Roman" w:hAnsi="Times New Roman" w:cs="Times New Roman"/>
          <w:color w:val="000000"/>
        </w:rPr>
        <w:t xml:space="preserve"> заходу партнерів </w:t>
      </w:r>
      <w:r>
        <w:rPr>
          <w:rFonts w:ascii="Times New Roman" w:eastAsia="Times New Roman" w:hAnsi="Times New Roman" w:cs="Times New Roman"/>
        </w:rPr>
        <w:t>за територіальним місцезнаходженням, визначеним Замовником, в межах України.</w:t>
      </w: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Кількість громадський організацій:</w:t>
      </w:r>
      <w:r>
        <w:rPr>
          <w:rFonts w:ascii="Times New Roman" w:eastAsia="Times New Roman" w:hAnsi="Times New Roman" w:cs="Times New Roman"/>
        </w:rPr>
        <w:t xml:space="preserve"> 18 організацій, які потребують експертної підтримки, з яких:</w:t>
      </w: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Харківська область - 8 організацій;</w:t>
      </w: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Дніпропетровська область - 6 організацій;</w:t>
      </w: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Сумська область - 4 організації;</w:t>
      </w:r>
    </w:p>
    <w:p w:rsidR="005B5744" w:rsidRDefault="00465D9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</w:rPr>
        <w:t>Теми експертної підтримки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5B5744" w:rsidRDefault="00465D93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Стратегічне та операційне управління в неприбуткових організаціях.</w:t>
      </w:r>
    </w:p>
    <w:p w:rsidR="005B5744" w:rsidRDefault="00465D93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Соціальна допомога вразливим верствам населення.</w:t>
      </w:r>
    </w:p>
    <w:p w:rsidR="005B5744" w:rsidRDefault="00465D93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Фандрайзинг та управління проектами.</w:t>
      </w:r>
    </w:p>
    <w:p w:rsidR="005B5744" w:rsidRDefault="005B5744">
      <w:pPr>
        <w:spacing w:after="0" w:line="276" w:lineRule="auto"/>
        <w:ind w:left="840" w:hanging="240"/>
        <w:jc w:val="both"/>
        <w:rPr>
          <w:rFonts w:ascii="Times New Roman" w:eastAsia="Times New Roman" w:hAnsi="Times New Roman" w:cs="Times New Roman"/>
        </w:rPr>
      </w:pPr>
    </w:p>
    <w:p w:rsidR="005B5744" w:rsidRDefault="00465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Кількість </w:t>
      </w:r>
      <w:r>
        <w:rPr>
          <w:rFonts w:ascii="Times New Roman" w:eastAsia="Times New Roman" w:hAnsi="Times New Roman" w:cs="Times New Roman"/>
          <w:b/>
        </w:rPr>
        <w:t>виконавців (далі - експерт або фахівець)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та їх навантаження:</w:t>
      </w:r>
    </w:p>
    <w:p w:rsidR="005B5744" w:rsidRDefault="005B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744" w:rsidRDefault="00465D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Експерт зі стратегічного та операційного управління в неприбуткових організаціях</w:t>
      </w:r>
      <w:r>
        <w:rPr>
          <w:rFonts w:ascii="Times New Roman" w:eastAsia="Times New Roman" w:hAnsi="Times New Roman" w:cs="Times New Roman"/>
          <w:b/>
          <w:color w:val="000000"/>
        </w:rPr>
        <w:t xml:space="preserve"> -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експерт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Передбачається, що </w:t>
      </w:r>
      <w:r>
        <w:rPr>
          <w:rFonts w:ascii="Times New Roman" w:eastAsia="Times New Roman" w:hAnsi="Times New Roman" w:cs="Times New Roman"/>
        </w:rPr>
        <w:t xml:space="preserve">експерт буде долучений до робочої групи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, діяльність якої координує менеджер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БО “БФ “Рокада”. </w:t>
      </w:r>
      <w:r>
        <w:rPr>
          <w:rFonts w:ascii="Times New Roman" w:eastAsia="Times New Roman" w:hAnsi="Times New Roman" w:cs="Times New Roman"/>
          <w:color w:val="000000"/>
        </w:rPr>
        <w:t xml:space="preserve">Замовник додатково залучатиме </w:t>
      </w:r>
      <w:r>
        <w:rPr>
          <w:rFonts w:ascii="Times New Roman" w:eastAsia="Times New Roman" w:hAnsi="Times New Roman" w:cs="Times New Roman"/>
        </w:rPr>
        <w:t xml:space="preserve">до робочої групи менторів, які супроводжують ОГС в регіонах. </w:t>
      </w:r>
    </w:p>
    <w:p w:rsidR="005B5744" w:rsidRDefault="00465D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Експерт з соціальної допомоги вразливим верствам населення</w:t>
      </w:r>
      <w:r>
        <w:rPr>
          <w:rFonts w:ascii="Times New Roman" w:eastAsia="Times New Roman" w:hAnsi="Times New Roman" w:cs="Times New Roman"/>
          <w:b/>
          <w:color w:val="000000"/>
        </w:rPr>
        <w:t xml:space="preserve"> -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експерт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Передбачається, що експерт буде долучений до робочої групи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, діяльність якої координує менеджер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БО “БФ “Рокада”. Замовник додатково залучатиме до робочої групи менторів, які супроводжують ОГС в регіонах. </w:t>
      </w:r>
    </w:p>
    <w:p w:rsidR="005B5744" w:rsidRDefault="00465D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Експерт з фандрайзингу та управління </w:t>
      </w:r>
      <w:proofErr w:type="spellStart"/>
      <w:r>
        <w:rPr>
          <w:rFonts w:ascii="Times New Roman" w:eastAsia="Times New Roman" w:hAnsi="Times New Roman" w:cs="Times New Roman"/>
          <w:b/>
        </w:rPr>
        <w:t>проєктами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- 1 </w:t>
      </w:r>
      <w:r>
        <w:rPr>
          <w:rFonts w:ascii="Times New Roman" w:eastAsia="Times New Roman" w:hAnsi="Times New Roman" w:cs="Times New Roman"/>
          <w:b/>
        </w:rPr>
        <w:t>експерт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Передбачається, що експерт буде долучений до робочої групи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, діяльність якої координує менеджер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БО “БФ “Рокада”. Замовник додатково залучатиме до робочої групи менторів, які супроводжують ОГС в регіонах. </w:t>
      </w:r>
    </w:p>
    <w:p w:rsidR="005B5744" w:rsidRDefault="005B57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5B5744" w:rsidRDefault="00465D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Навантаження експертів обраховується відповідно до графіку виконання задач експерта згідно з зазначеним переліком задач в пункті 8.</w:t>
      </w:r>
    </w:p>
    <w:p w:rsidR="005B5744" w:rsidRDefault="005B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  <w:color w:val="000000"/>
        </w:rPr>
        <w:t>. Формат залучення фахівця: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Експерт працює в робочій групі разом з іншими експертами та менеджером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над розробкою методики проведення оцінки організаційної спроможності ОГС-партнерів, надає індивідуальну консультаційну допомогу менторам ОГС щодо розробленої та затвердженої робочою групою методології оцінки організаційної спроможності діяльності ОГС-партнерів, долучається до імплементації розробленого та затвердженого Плану дій посилення організаційної спроможності діяльності ОГС-партнерів, проводить навчання для команд діяльності ОГС-партнерів у сфері власної експертизи, допомагає з розробкою онлайн інформаційно-методичного електронного посібника, опрацьовує та підготовлює звіти щодо аналізу посилення організаційної спроможності після проведення початкової та фінальної оцінки спроможності ОГС-партнерів. </w:t>
      </w:r>
    </w:p>
    <w:p w:rsidR="005B5744" w:rsidRDefault="005B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Основна діяльність виконується дистанційно за допомогою </w:t>
      </w:r>
      <w:proofErr w:type="spellStart"/>
      <w:r>
        <w:rPr>
          <w:rFonts w:ascii="Times New Roman" w:eastAsia="Times New Roman" w:hAnsi="Times New Roman" w:cs="Times New Roman"/>
        </w:rPr>
        <w:t>ком’ютера</w:t>
      </w:r>
      <w:proofErr w:type="spellEnd"/>
      <w:r>
        <w:rPr>
          <w:rFonts w:ascii="Times New Roman" w:eastAsia="Times New Roman" w:hAnsi="Times New Roman" w:cs="Times New Roman"/>
        </w:rPr>
        <w:t xml:space="preserve">, телефону, електронної пошти, відеоконференцій тощо - документи, поради, роз'яснення. </w:t>
      </w:r>
    </w:p>
    <w:p w:rsidR="005B5744" w:rsidRDefault="005B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Передбачається, що кожен</w:t>
      </w:r>
      <w:r>
        <w:rPr>
          <w:rFonts w:ascii="Times New Roman" w:eastAsia="Times New Roman" w:hAnsi="Times New Roman" w:cs="Times New Roman"/>
        </w:rPr>
        <w:t xml:space="preserve"> експерт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долучається до консультування залучених менторів та команд ОГС-партнерів у сфері власної експертизи.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B5744" w:rsidRDefault="005B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B5744" w:rsidRDefault="00465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Графік виконання завдань </w:t>
      </w:r>
      <w:r>
        <w:rPr>
          <w:rFonts w:ascii="Times New Roman" w:eastAsia="Times New Roman" w:hAnsi="Times New Roman" w:cs="Times New Roman"/>
          <w:b/>
        </w:rPr>
        <w:t>Експертом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(вважати орієнтовним попереднім розрахунком):</w:t>
      </w:r>
    </w:p>
    <w:tbl>
      <w:tblPr>
        <w:tblStyle w:val="af2"/>
        <w:tblW w:w="924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4470"/>
        <w:gridCol w:w="1815"/>
        <w:gridCol w:w="2475"/>
      </w:tblGrid>
      <w:tr w:rsidR="005B5744" w:rsidTr="00A70BF7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B5744" w:rsidRDefault="0046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5744" w:rsidRDefault="0046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Опис діяльності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5744" w:rsidRDefault="005B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B5744" w:rsidRDefault="0046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 днів, у розрахунку на 1 ОГС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5744" w:rsidRDefault="0046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Орієнтовна кількість днів залученості 1 експерта на 18 ОГС</w:t>
            </w:r>
          </w:p>
        </w:tc>
      </w:tr>
      <w:tr w:rsidR="005B5744" w:rsidTr="00A70BF7">
        <w:trPr>
          <w:trHeight w:val="20"/>
          <w:jc w:val="center"/>
        </w:trPr>
        <w:tc>
          <w:tcPr>
            <w:tcW w:w="4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              </w:t>
            </w:r>
          </w:p>
        </w:tc>
        <w:tc>
          <w:tcPr>
            <w:tcW w:w="4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Організація контактів з іншими експертами та наставниками</w:t>
            </w:r>
          </w:p>
        </w:tc>
        <w:tc>
          <w:tcPr>
            <w:tcW w:w="1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0,5 дня/18 ОГС</w:t>
            </w:r>
          </w:p>
        </w:tc>
        <w:tc>
          <w:tcPr>
            <w:tcW w:w="2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0,5 дня</w:t>
            </w:r>
          </w:p>
        </w:tc>
      </w:tr>
      <w:tr w:rsidR="005B5744" w:rsidTr="00A70BF7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             </w:t>
            </w:r>
          </w:p>
        </w:tc>
        <w:tc>
          <w:tcPr>
            <w:tcW w:w="4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робочій групі з розробки методології оцінки спроможності ОГС-партнерів</w:t>
            </w:r>
          </w:p>
        </w:tc>
        <w:tc>
          <w:tcPr>
            <w:tcW w:w="1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 дня</w:t>
            </w:r>
          </w:p>
        </w:tc>
        <w:tc>
          <w:tcPr>
            <w:tcW w:w="2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 дня</w:t>
            </w:r>
          </w:p>
        </w:tc>
      </w:tr>
      <w:tr w:rsidR="005B5744" w:rsidTr="00A70BF7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              </w:t>
            </w:r>
          </w:p>
        </w:tc>
        <w:tc>
          <w:tcPr>
            <w:tcW w:w="4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 висновків у сфері власної експертизи до звіту за результатами первинної оцінки спроможності ОГС-партнерів</w:t>
            </w:r>
          </w:p>
        </w:tc>
        <w:tc>
          <w:tcPr>
            <w:tcW w:w="18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0,5 дня</w:t>
            </w:r>
          </w:p>
        </w:tc>
        <w:tc>
          <w:tcPr>
            <w:tcW w:w="2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0,5 дня</w:t>
            </w:r>
          </w:p>
        </w:tc>
      </w:tr>
      <w:tr w:rsidR="005B5744" w:rsidTr="00A70BF7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            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Участь у розробці короткострокових та довгострокових рекомендацій для ОГС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0,5 дня/ 1 ОГС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9 днів</w:t>
            </w:r>
          </w:p>
        </w:tc>
      </w:tr>
      <w:tr w:rsidR="005B5744" w:rsidTr="00A70BF7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             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Участь у розробці Плану дій для ОГС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0,5 дня/ ОГС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9 днів</w:t>
            </w:r>
          </w:p>
        </w:tc>
      </w:tr>
      <w:tr w:rsidR="005B5744" w:rsidTr="00A70BF7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             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Pr="00A70BF7" w:rsidRDefault="00465D93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 групових сесій для ОГС на певні теми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 дні/ 18 ОГС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 дні</w:t>
            </w:r>
          </w:p>
        </w:tc>
      </w:tr>
      <w:tr w:rsidR="005B5744" w:rsidTr="00A70BF7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              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Надання індивідуальної консультаційної підтримки ОГС у сфері їх діяльності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0,5 дня/ 1 ОГС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9 днів</w:t>
            </w:r>
          </w:p>
        </w:tc>
      </w:tr>
      <w:tr w:rsidR="005B5744" w:rsidTr="00A70BF7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Участь у розробці електронного посібника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 дні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 дні</w:t>
            </w:r>
          </w:p>
        </w:tc>
      </w:tr>
      <w:tr w:rsidR="005B5744" w:rsidTr="00A70BF7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Підготовка аналізу результатів організаційного розвитку всіх ОГС-партнерів після проходження програми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 день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 день</w:t>
            </w:r>
          </w:p>
        </w:tc>
      </w:tr>
      <w:tr w:rsidR="005B5744" w:rsidTr="00A70BF7">
        <w:trPr>
          <w:trHeight w:val="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в обмінних візитах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візити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B5744" w:rsidRDefault="00465D93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 дні</w:t>
            </w:r>
          </w:p>
        </w:tc>
      </w:tr>
      <w:tr w:rsidR="005B5744" w:rsidTr="00A70BF7">
        <w:trPr>
          <w:trHeight w:val="20"/>
          <w:jc w:val="center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B5744" w:rsidRDefault="0046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Усього днів діяльності одного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Експерта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B5744" w:rsidRDefault="004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11,5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44" w:rsidRDefault="0046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</w:tbl>
    <w:p w:rsidR="005B5744" w:rsidRDefault="005B5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>
        <w:rPr>
          <w:rFonts w:ascii="Times New Roman" w:eastAsia="Times New Roman" w:hAnsi="Times New Roman" w:cs="Times New Roman"/>
          <w:b/>
          <w:i/>
        </w:rPr>
        <w:t xml:space="preserve">Під робочим днем фахівця слід вважати </w:t>
      </w:r>
      <w:r>
        <w:rPr>
          <w:rFonts w:ascii="Times New Roman" w:eastAsia="Times New Roman" w:hAnsi="Times New Roman" w:cs="Times New Roman"/>
          <w:b/>
          <w:i/>
          <w:u w:val="single"/>
        </w:rPr>
        <w:t>8 робочих годин</w:t>
      </w:r>
      <w:r>
        <w:rPr>
          <w:rFonts w:ascii="Times New Roman" w:eastAsia="Times New Roman" w:hAnsi="Times New Roman" w:cs="Times New Roman"/>
          <w:b/>
          <w:i/>
        </w:rPr>
        <w:t xml:space="preserve"> експерта</w:t>
      </w:r>
      <w:r>
        <w:rPr>
          <w:rFonts w:ascii="Times New Roman" w:eastAsia="Times New Roman" w:hAnsi="Times New Roman" w:cs="Times New Roman"/>
        </w:rPr>
        <w:t>, протягом яких він виконує свої професійні обов’язки, передбачені переліком його задач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:rsidR="005B5744" w:rsidRDefault="005B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Кількість днів на виконання кожного етапу реалізації може змінюватись </w:t>
      </w:r>
      <w:r>
        <w:rPr>
          <w:rFonts w:ascii="Times New Roman" w:eastAsia="Times New Roman" w:hAnsi="Times New Roman" w:cs="Times New Roman"/>
          <w:highlight w:val="white"/>
        </w:rPr>
        <w:t xml:space="preserve">у процесі виконання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та погоджується і затверджується безпосередньо з менеджером проекту БО “БФ “РОКАДА”. </w:t>
      </w:r>
    </w:p>
    <w:p w:rsidR="005B5744" w:rsidRDefault="005B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Попередньо очікується, що загальна кількість днів роботи одного експерта за всіма закріпленими за ним задачами становитиме:</w:t>
      </w:r>
    </w:p>
    <w:p w:rsidR="005B5744" w:rsidRDefault="00465D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Експерт зі стратегічного та операційного управління в неприбуткових організаціях - 37 днів завантаженості. </w:t>
      </w:r>
    </w:p>
    <w:p w:rsidR="005B5744" w:rsidRDefault="00465D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Експерт з соціальної допомоги вразливим верствам населення -  37 днів завантаженості.</w:t>
      </w:r>
    </w:p>
    <w:p w:rsidR="005B5744" w:rsidRDefault="00465D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Експерт з фандрайзингу та управління </w:t>
      </w:r>
      <w:proofErr w:type="spellStart"/>
      <w:r>
        <w:rPr>
          <w:rFonts w:ascii="Times New Roman" w:eastAsia="Times New Roman" w:hAnsi="Times New Roman" w:cs="Times New Roman"/>
        </w:rPr>
        <w:t>проєктами</w:t>
      </w:r>
      <w:proofErr w:type="spellEnd"/>
      <w:r>
        <w:rPr>
          <w:rFonts w:ascii="Times New Roman" w:eastAsia="Times New Roman" w:hAnsi="Times New Roman" w:cs="Times New Roman"/>
        </w:rPr>
        <w:t xml:space="preserve"> -  37 днів завантаженості. </w:t>
      </w:r>
    </w:p>
    <w:p w:rsidR="005B5744" w:rsidRDefault="005B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FF0000"/>
        </w:rPr>
        <w:t>ВАЖЛИВО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Усі робочі дні мають бути підтверджені табелями робочого часу. </w:t>
      </w:r>
      <w:r>
        <w:rPr>
          <w:rFonts w:ascii="Times New Roman" w:eastAsia="Times New Roman" w:hAnsi="Times New Roman" w:cs="Times New Roman"/>
        </w:rPr>
        <w:t>Оформлення табелю робочого часу може змінюватися з метою конкретизації виконаних задач, але має містити щонайменше дату, кількість витраченого часу та опис діяльності експерта за відпрацьовані години.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B5744" w:rsidRDefault="005B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9. Звітність. </w:t>
      </w:r>
      <w:r>
        <w:rPr>
          <w:rFonts w:ascii="Times New Roman" w:eastAsia="Times New Roman" w:hAnsi="Times New Roman" w:cs="Times New Roman"/>
        </w:rPr>
        <w:t xml:space="preserve">Експерт регулярно звітує про свою діяльність відповідному менеджеру </w:t>
      </w:r>
      <w:proofErr w:type="spellStart"/>
      <w:r>
        <w:rPr>
          <w:rFonts w:ascii="Times New Roman" w:eastAsia="Times New Roman" w:hAnsi="Times New Roman" w:cs="Times New Roman"/>
        </w:rPr>
        <w:t>Проєкту</w:t>
      </w:r>
      <w:proofErr w:type="spellEnd"/>
      <w:r>
        <w:rPr>
          <w:rFonts w:ascii="Times New Roman" w:eastAsia="Times New Roman" w:hAnsi="Times New Roman" w:cs="Times New Roman"/>
        </w:rPr>
        <w:t xml:space="preserve"> Замовника та, за вимогою, іншим залученим фахівцям або особам Замовника.  </w:t>
      </w:r>
    </w:p>
    <w:p w:rsidR="005B5744" w:rsidRDefault="00465D93">
      <w:pPr>
        <w:widowControl w:val="0"/>
        <w:spacing w:after="0" w:line="275" w:lineRule="auto"/>
        <w:ind w:left="7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</w:rPr>
        <w:t>вітність включає в себе (але не обмежується) такими документами:</w:t>
      </w:r>
    </w:p>
    <w:p w:rsidR="005B5744" w:rsidRDefault="00465D9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9"/>
        </w:tabs>
        <w:spacing w:after="0" w:line="240" w:lineRule="auto"/>
        <w:ind w:left="135" w:right="138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Табелі робочого часу;</w:t>
      </w:r>
    </w:p>
    <w:p w:rsidR="005B5744" w:rsidRDefault="00465D93">
      <w:pPr>
        <w:widowControl w:val="0"/>
        <w:numPr>
          <w:ilvl w:val="0"/>
          <w:numId w:val="3"/>
        </w:numPr>
        <w:tabs>
          <w:tab w:val="left" w:pos="1129"/>
        </w:tabs>
        <w:spacing w:after="0" w:line="240" w:lineRule="auto"/>
        <w:ind w:left="135" w:right="132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Затверджену методологію та матеріали початкової оцінки організаційної спроможності місцевих організацій громадянського суспільства у вигляді уніфікованої таблиці, що включає розділи “Технічна оцінка”, “Індивідуальна оцінка”, “Експертна оцінка”;</w:t>
      </w:r>
    </w:p>
    <w:p w:rsidR="005B5744" w:rsidRDefault="00465D93">
      <w:pPr>
        <w:widowControl w:val="0"/>
        <w:numPr>
          <w:ilvl w:val="0"/>
          <w:numId w:val="3"/>
        </w:numPr>
        <w:tabs>
          <w:tab w:val="left" w:pos="1129"/>
        </w:tabs>
        <w:spacing w:before="1" w:after="0" w:line="240" w:lineRule="auto"/>
        <w:ind w:left="135" w:right="135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Короткострокові і довгострокові рекомендації для розвитку у вигляді Плану дій затвердженого ОГС;</w:t>
      </w:r>
    </w:p>
    <w:p w:rsidR="005B5744" w:rsidRDefault="00465D93">
      <w:pPr>
        <w:widowControl w:val="0"/>
        <w:numPr>
          <w:ilvl w:val="0"/>
          <w:numId w:val="3"/>
        </w:numPr>
        <w:tabs>
          <w:tab w:val="left" w:pos="1129"/>
        </w:tabs>
        <w:spacing w:before="1" w:after="0" w:line="240" w:lineRule="auto"/>
        <w:ind w:left="135" w:right="135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Звіт про консультаційні послуги для менторів та команд ОГС-партнерів у </w:t>
      </w:r>
      <w:proofErr w:type="spellStart"/>
      <w:r>
        <w:rPr>
          <w:rFonts w:ascii="Times New Roman" w:eastAsia="Times New Roman" w:hAnsi="Times New Roman" w:cs="Times New Roman"/>
        </w:rPr>
        <w:t>сферів</w:t>
      </w:r>
      <w:proofErr w:type="spellEnd"/>
      <w:r>
        <w:rPr>
          <w:rFonts w:ascii="Times New Roman" w:eastAsia="Times New Roman" w:hAnsi="Times New Roman" w:cs="Times New Roman"/>
        </w:rPr>
        <w:t xml:space="preserve"> власної експертизи;</w:t>
      </w:r>
    </w:p>
    <w:p w:rsidR="005B5744" w:rsidRDefault="00465D93">
      <w:pPr>
        <w:widowControl w:val="0"/>
        <w:numPr>
          <w:ilvl w:val="0"/>
          <w:numId w:val="3"/>
        </w:numPr>
        <w:tabs>
          <w:tab w:val="left" w:pos="1129"/>
        </w:tabs>
        <w:spacing w:after="0" w:line="242" w:lineRule="auto"/>
        <w:ind w:left="135" w:right="134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 з аналізом результатів підсумкової оцінки організаційної спроможності всіх організацій громадянського суспільства відповідно до затвердженої методології, з вказанням висновків та рівня їх посилення спроможності по кожній ОГС;</w:t>
      </w:r>
    </w:p>
    <w:p w:rsidR="005B5744" w:rsidRDefault="00465D93">
      <w:pPr>
        <w:widowControl w:val="0"/>
        <w:numPr>
          <w:ilvl w:val="0"/>
          <w:numId w:val="3"/>
        </w:numPr>
        <w:tabs>
          <w:tab w:val="left" w:pos="1129"/>
        </w:tabs>
        <w:spacing w:after="0" w:line="242" w:lineRule="auto"/>
        <w:ind w:left="135" w:right="134" w:firstLine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Звіт за результатам проведеної роботи з рекомендаціями для подальшої роботи.</w:t>
      </w:r>
    </w:p>
    <w:p w:rsidR="005B5744" w:rsidRDefault="005B5744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Вищезазначені документи надаються Експертами не пізніше, ніж через 5 днів після того, як відповідне завдання було виконане згідно із узгодженим Графіком робіт.</w:t>
      </w:r>
    </w:p>
    <w:p w:rsidR="005B5744" w:rsidRDefault="005B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10.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Оренда приміщення та харчування.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НЕ</w:t>
      </w:r>
      <w:r>
        <w:rPr>
          <w:rFonts w:ascii="Times New Roman" w:eastAsia="Times New Roman" w:hAnsi="Times New Roman" w:cs="Times New Roman"/>
          <w:color w:val="000000"/>
        </w:rPr>
        <w:t xml:space="preserve"> передбачаються та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НЕ</w:t>
      </w:r>
      <w:r>
        <w:rPr>
          <w:rFonts w:ascii="Times New Roman" w:eastAsia="Times New Roman" w:hAnsi="Times New Roman" w:cs="Times New Roman"/>
          <w:color w:val="000000"/>
        </w:rPr>
        <w:t xml:space="preserve"> покриваються Замовником*. </w:t>
      </w:r>
    </w:p>
    <w:p w:rsidR="005B5744" w:rsidRDefault="005B57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5744" w:rsidRDefault="00465D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* Виключення становить лише етап спільного заходу партнерів.</w:t>
      </w:r>
    </w:p>
    <w:p w:rsidR="005B5744" w:rsidRDefault="005B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B5744" w:rsidRDefault="00465D9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11. Оплата </w:t>
      </w:r>
      <w:r>
        <w:rPr>
          <w:rFonts w:ascii="Times New Roman" w:eastAsia="Times New Roman" w:hAnsi="Times New Roman" w:cs="Times New Roman"/>
        </w:rPr>
        <w:t xml:space="preserve">за надані послуги буде проводитись щомісяця за </w:t>
      </w:r>
      <w:r>
        <w:rPr>
          <w:rFonts w:ascii="Times New Roman" w:eastAsia="Times New Roman" w:hAnsi="Times New Roman" w:cs="Times New Roman"/>
          <w:u w:val="single"/>
        </w:rPr>
        <w:t>актом</w:t>
      </w:r>
      <w:r>
        <w:rPr>
          <w:rFonts w:ascii="Times New Roman" w:eastAsia="Times New Roman" w:hAnsi="Times New Roman" w:cs="Times New Roman"/>
        </w:rPr>
        <w:t xml:space="preserve"> виконаних робіт/наданих послуг та відповідно до наданого </w:t>
      </w:r>
      <w:r>
        <w:rPr>
          <w:rFonts w:ascii="Times New Roman" w:eastAsia="Times New Roman" w:hAnsi="Times New Roman" w:cs="Times New Roman"/>
          <w:u w:val="single"/>
        </w:rPr>
        <w:t>табелю робочого часу</w:t>
      </w:r>
      <w:r>
        <w:rPr>
          <w:rFonts w:ascii="Times New Roman" w:eastAsia="Times New Roman" w:hAnsi="Times New Roman" w:cs="Times New Roman"/>
        </w:rPr>
        <w:t>. Оплата буде здійснюватися безготівковим розрахунком на розрахунковий рахунок ФОП або юридичної особи.</w:t>
      </w:r>
    </w:p>
    <w:p w:rsidR="005B5744" w:rsidRDefault="00465D93">
      <w:pPr>
        <w:widowControl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Учасник несе відповідальність за сплату всіх податків, зборів або інших обов'язкових платежів, передбачених законодавством України, з отриманих сум. </w:t>
      </w:r>
    </w:p>
    <w:p w:rsidR="005B5744" w:rsidRPr="00A70BF7" w:rsidRDefault="00465D93" w:rsidP="00A70BF7">
      <w:pPr>
        <w:spacing w:before="240" w:after="0" w:line="276" w:lineRule="auto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З технічним завданням ознайомлений/а(-і)</w:t>
      </w:r>
    </w:p>
    <w:tbl>
      <w:tblPr>
        <w:tblStyle w:val="af3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1245"/>
        <w:gridCol w:w="555"/>
        <w:gridCol w:w="555"/>
        <w:gridCol w:w="555"/>
      </w:tblGrid>
      <w:tr w:rsidR="005B5744" w:rsidTr="00A70BF7">
        <w:trPr>
          <w:trHeight w:val="20"/>
        </w:trPr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44" w:rsidRDefault="00465D93" w:rsidP="00A70BF7">
            <w:pPr>
              <w:spacing w:after="0" w:line="240" w:lineRule="auto"/>
              <w:rPr>
                <w:rFonts w:ascii="Book Antiqua" w:eastAsia="Book Antiqua" w:hAnsi="Book Antiqua" w:cs="Book Antiqua"/>
                <w:color w:val="333333"/>
              </w:rPr>
            </w:pPr>
            <w:r>
              <w:rPr>
                <w:rFonts w:ascii="Book Antiqua" w:eastAsia="Book Antiqua" w:hAnsi="Book Antiqua" w:cs="Book Antiqua"/>
                <w:color w:val="333333"/>
              </w:rPr>
              <w:t>ПІБ Учасника: _____________________________________________________</w:t>
            </w:r>
          </w:p>
          <w:p w:rsidR="005B5744" w:rsidRDefault="00465D93" w:rsidP="00A70BF7">
            <w:pPr>
              <w:spacing w:after="0" w:line="240" w:lineRule="auto"/>
              <w:rPr>
                <w:rFonts w:ascii="Book Antiqua" w:eastAsia="Book Antiqua" w:hAnsi="Book Antiqua" w:cs="Book Antiqua"/>
                <w:color w:val="333333"/>
              </w:rPr>
            </w:pPr>
            <w:r>
              <w:rPr>
                <w:rFonts w:ascii="Book Antiqua" w:eastAsia="Book Antiqua" w:hAnsi="Book Antiqua" w:cs="Book Antiqua"/>
                <w:color w:val="333333"/>
              </w:rPr>
              <w:t>ПІБ Виконавця (-</w:t>
            </w:r>
            <w:proofErr w:type="spellStart"/>
            <w:r>
              <w:rPr>
                <w:rFonts w:ascii="Book Antiqua" w:eastAsia="Book Antiqua" w:hAnsi="Book Antiqua" w:cs="Book Antiqua"/>
                <w:color w:val="333333"/>
              </w:rPr>
              <w:t>ів</w:t>
            </w:r>
            <w:proofErr w:type="spellEnd"/>
            <w:r>
              <w:rPr>
                <w:rFonts w:ascii="Book Antiqua" w:eastAsia="Book Antiqua" w:hAnsi="Book Antiqua" w:cs="Book Antiqua"/>
                <w:color w:val="333333"/>
              </w:rPr>
              <w:t>)*: ________________________________________________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Book Antiqua" w:eastAsia="Book Antiqua" w:hAnsi="Book Antiqua" w:cs="Book Antiqua"/>
                <w:color w:val="333333"/>
              </w:rPr>
            </w:pPr>
            <w:r>
              <w:rPr>
                <w:rFonts w:ascii="Book Antiqua" w:eastAsia="Book Antiqua" w:hAnsi="Book Antiqua" w:cs="Book Antiqua"/>
                <w:color w:val="333333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B5744" w:rsidTr="00A70BF7">
        <w:trPr>
          <w:trHeight w:val="20"/>
        </w:trPr>
        <w:tc>
          <w:tcPr>
            <w:tcW w:w="9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44" w:rsidRDefault="00465D93" w:rsidP="00A7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*у разі подання учасником пропозиції за декількома виконавцями, зазначаються усі</w:t>
            </w:r>
          </w:p>
        </w:tc>
      </w:tr>
      <w:tr w:rsidR="005B5744" w:rsidTr="00A70BF7">
        <w:trPr>
          <w:trHeight w:val="20"/>
        </w:trPr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44" w:rsidRDefault="00465D93" w:rsidP="00A70BF7">
            <w:pPr>
              <w:spacing w:after="0" w:line="240" w:lineRule="auto"/>
              <w:rPr>
                <w:rFonts w:ascii="Book Antiqua" w:eastAsia="Book Antiqua" w:hAnsi="Book Antiqua" w:cs="Book Antiqua"/>
                <w:color w:val="333333"/>
              </w:rPr>
            </w:pPr>
            <w:r>
              <w:rPr>
                <w:rFonts w:ascii="Book Antiqua" w:eastAsia="Book Antiqua" w:hAnsi="Book Antiqua" w:cs="Book Antiqua"/>
                <w:color w:val="333333"/>
              </w:rPr>
              <w:t>ПІДПИС Учасника: _____________________________________________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Book Antiqua" w:eastAsia="Book Antiqua" w:hAnsi="Book Antiqua" w:cs="Book Antiqua"/>
                <w:color w:val="333333"/>
              </w:rPr>
            </w:pPr>
            <w:r>
              <w:rPr>
                <w:rFonts w:ascii="Book Antiqua" w:eastAsia="Book Antiqua" w:hAnsi="Book Antiqua" w:cs="Book Antiqua"/>
                <w:color w:val="333333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B5744" w:rsidTr="00A70BF7">
        <w:trPr>
          <w:trHeight w:val="2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44" w:rsidRDefault="00465D93" w:rsidP="00A70BF7">
            <w:pPr>
              <w:spacing w:after="0" w:line="240" w:lineRule="auto"/>
              <w:rPr>
                <w:rFonts w:ascii="Book Antiqua" w:eastAsia="Book Antiqua" w:hAnsi="Book Antiqua" w:cs="Book Antiqua"/>
                <w:color w:val="333333"/>
              </w:rPr>
            </w:pPr>
            <w:r>
              <w:rPr>
                <w:rFonts w:ascii="Book Antiqua" w:eastAsia="Book Antiqua" w:hAnsi="Book Antiqua" w:cs="Book Antiqua"/>
                <w:color w:val="333333"/>
              </w:rPr>
              <w:t>Електронна пошта та мобільний телефон учасника______________________________________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Book Antiqua" w:eastAsia="Book Antiqua" w:hAnsi="Book Antiqua" w:cs="Book Antiqua"/>
                <w:color w:val="333333"/>
              </w:rPr>
            </w:pPr>
            <w:r>
              <w:rPr>
                <w:rFonts w:ascii="Book Antiqua" w:eastAsia="Book Antiqua" w:hAnsi="Book Antiqua" w:cs="Book Antiqua"/>
                <w:color w:val="333333"/>
              </w:rPr>
              <w:t xml:space="preserve"> </w:t>
            </w:r>
          </w:p>
        </w:tc>
      </w:tr>
      <w:tr w:rsidR="005B5744" w:rsidTr="00A70BF7">
        <w:trPr>
          <w:trHeight w:val="2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44" w:rsidRDefault="00465D93" w:rsidP="00A70BF7">
            <w:pPr>
              <w:spacing w:after="0" w:line="240" w:lineRule="auto"/>
              <w:rPr>
                <w:rFonts w:ascii="Book Antiqua" w:eastAsia="Book Antiqua" w:hAnsi="Book Antiqua" w:cs="Book Antiqua"/>
                <w:color w:val="333333"/>
              </w:rPr>
            </w:pPr>
            <w:r>
              <w:rPr>
                <w:rFonts w:ascii="Book Antiqua" w:eastAsia="Book Antiqua" w:hAnsi="Book Antiqua" w:cs="Book Antiqua"/>
                <w:color w:val="333333"/>
              </w:rPr>
              <w:t>ПЕЧАТКА (за наявності):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Book Antiqua" w:eastAsia="Book Antiqua" w:hAnsi="Book Antiqua" w:cs="Book Antiqua"/>
                <w:color w:val="333333"/>
              </w:rPr>
            </w:pPr>
            <w:r>
              <w:rPr>
                <w:rFonts w:ascii="Book Antiqua" w:eastAsia="Book Antiqua" w:hAnsi="Book Antiqua" w:cs="Book Antiqua"/>
                <w:color w:val="333333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5B5744" w:rsidTr="00A70BF7">
        <w:trPr>
          <w:trHeight w:val="20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5744" w:rsidRDefault="00465D93" w:rsidP="00A70BF7">
            <w:pPr>
              <w:spacing w:after="0" w:line="240" w:lineRule="auto"/>
              <w:rPr>
                <w:rFonts w:ascii="Book Antiqua" w:eastAsia="Book Antiqua" w:hAnsi="Book Antiqua" w:cs="Book Antiqua"/>
                <w:color w:val="333333"/>
              </w:rPr>
            </w:pPr>
            <w:r>
              <w:rPr>
                <w:rFonts w:ascii="Book Antiqua" w:eastAsia="Book Antiqua" w:hAnsi="Book Antiqua" w:cs="Book Antiqua"/>
                <w:color w:val="333333"/>
              </w:rPr>
              <w:t>ДАТА: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Book Antiqua" w:eastAsia="Book Antiqua" w:hAnsi="Book Antiqua" w:cs="Book Antiqua"/>
                <w:color w:val="333333"/>
              </w:rPr>
            </w:pPr>
            <w:r>
              <w:rPr>
                <w:rFonts w:ascii="Book Antiqua" w:eastAsia="Book Antiqua" w:hAnsi="Book Antiqua" w:cs="Book Antiqua"/>
                <w:color w:val="333333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5B5744" w:rsidRDefault="00465D93" w:rsidP="00A7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</w:tbl>
    <w:p w:rsidR="005B5744" w:rsidRDefault="005B5744">
      <w:bookmarkStart w:id="1" w:name="_heading=h.gjdgxs" w:colFirst="0" w:colLast="0"/>
      <w:bookmarkEnd w:id="1"/>
    </w:p>
    <w:sectPr w:rsidR="005B5744">
      <w:headerReference w:type="default" r:id="rId8"/>
      <w:pgSz w:w="11906" w:h="16838"/>
      <w:pgMar w:top="851" w:right="851" w:bottom="851" w:left="1418" w:header="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31" w:rsidRDefault="00B02A31">
      <w:pPr>
        <w:spacing w:after="0" w:line="240" w:lineRule="auto"/>
      </w:pPr>
      <w:r>
        <w:separator/>
      </w:r>
    </w:p>
  </w:endnote>
  <w:endnote w:type="continuationSeparator" w:id="0">
    <w:p w:rsidR="00B02A31" w:rsidRDefault="00B0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31" w:rsidRDefault="00B02A31">
      <w:pPr>
        <w:spacing w:after="0" w:line="240" w:lineRule="auto"/>
      </w:pPr>
      <w:r>
        <w:separator/>
      </w:r>
    </w:p>
  </w:footnote>
  <w:footnote w:type="continuationSeparator" w:id="0">
    <w:p w:rsidR="00B02A31" w:rsidRDefault="00B0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744" w:rsidRDefault="005B5744">
    <w:pPr>
      <w:widowControl w:val="0"/>
      <w:spacing w:after="0" w:line="276" w:lineRule="auto"/>
    </w:pPr>
  </w:p>
  <w:p w:rsidR="005B5744" w:rsidRDefault="00465D93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9050" distB="19050" distL="19050" distR="19050">
          <wp:extent cx="1199833" cy="750974"/>
          <wp:effectExtent l="0" t="0" r="0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833" cy="750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9050" distB="19050" distL="19050" distR="19050">
          <wp:extent cx="1999933" cy="690242"/>
          <wp:effectExtent l="0" t="0" r="0" b="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933" cy="690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114300" distR="114300">
          <wp:extent cx="1314133" cy="417185"/>
          <wp:effectExtent l="0" t="0" r="0" b="0"/>
          <wp:docPr id="15" name="image3.png" descr="0-02-05-00634a23782b90eafdc0c698b52933c9f6704d7e51330edccbac53bb4dea9675_182bc7691abf5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0-02-05-00634a23782b90eafdc0c698b52933c9f6704d7e51330edccbac53bb4dea9675_182bc7691abf5330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133" cy="417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3430422</wp:posOffset>
          </wp:positionH>
          <wp:positionV relativeFrom="paragraph">
            <wp:posOffset>257175</wp:posOffset>
          </wp:positionV>
          <wp:extent cx="1255877" cy="464503"/>
          <wp:effectExtent l="0" t="0" r="0" b="0"/>
          <wp:wrapSquare wrapText="bothSides" distT="19050" distB="19050" distL="19050" distR="1905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5877" cy="464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B5744" w:rsidRDefault="005B57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A6CD3"/>
    <w:multiLevelType w:val="multilevel"/>
    <w:tmpl w:val="64382E4E"/>
    <w:lvl w:ilvl="0">
      <w:numFmt w:val="bullet"/>
      <w:lvlText w:val="●"/>
      <w:lvlJc w:val="left"/>
      <w:pPr>
        <w:ind w:left="136" w:hanging="42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96" w:hanging="424"/>
      </w:pPr>
    </w:lvl>
    <w:lvl w:ilvl="2">
      <w:numFmt w:val="bullet"/>
      <w:lvlText w:val="•"/>
      <w:lvlJc w:val="left"/>
      <w:pPr>
        <w:ind w:left="2253" w:hanging="424"/>
      </w:pPr>
    </w:lvl>
    <w:lvl w:ilvl="3">
      <w:numFmt w:val="bullet"/>
      <w:lvlText w:val="•"/>
      <w:lvlJc w:val="left"/>
      <w:pPr>
        <w:ind w:left="3310" w:hanging="424"/>
      </w:pPr>
    </w:lvl>
    <w:lvl w:ilvl="4">
      <w:numFmt w:val="bullet"/>
      <w:lvlText w:val="•"/>
      <w:lvlJc w:val="left"/>
      <w:pPr>
        <w:ind w:left="4367" w:hanging="424"/>
      </w:pPr>
    </w:lvl>
    <w:lvl w:ilvl="5">
      <w:numFmt w:val="bullet"/>
      <w:lvlText w:val="•"/>
      <w:lvlJc w:val="left"/>
      <w:pPr>
        <w:ind w:left="5424" w:hanging="424"/>
      </w:pPr>
    </w:lvl>
    <w:lvl w:ilvl="6">
      <w:numFmt w:val="bullet"/>
      <w:lvlText w:val="•"/>
      <w:lvlJc w:val="left"/>
      <w:pPr>
        <w:ind w:left="6480" w:hanging="424"/>
      </w:pPr>
    </w:lvl>
    <w:lvl w:ilvl="7">
      <w:numFmt w:val="bullet"/>
      <w:lvlText w:val="•"/>
      <w:lvlJc w:val="left"/>
      <w:pPr>
        <w:ind w:left="7537" w:hanging="422"/>
      </w:pPr>
    </w:lvl>
    <w:lvl w:ilvl="8">
      <w:numFmt w:val="bullet"/>
      <w:lvlText w:val="•"/>
      <w:lvlJc w:val="left"/>
      <w:pPr>
        <w:ind w:left="8594" w:hanging="424"/>
      </w:pPr>
    </w:lvl>
  </w:abstractNum>
  <w:abstractNum w:abstractNumId="1" w15:restartNumberingAfterBreak="0">
    <w:nsid w:val="621A5778"/>
    <w:multiLevelType w:val="multilevel"/>
    <w:tmpl w:val="D56665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9B2661"/>
    <w:multiLevelType w:val="multilevel"/>
    <w:tmpl w:val="3100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44"/>
    <w:rsid w:val="00465D93"/>
    <w:rsid w:val="005B5744"/>
    <w:rsid w:val="009704F6"/>
    <w:rsid w:val="00A70BF7"/>
    <w:rsid w:val="00B0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55D9"/>
  <w15:docId w15:val="{528EA383-5859-419F-B8E9-5791AAD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A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3A78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Sql7Fn/VY3SpTWCLi/y78Zp6Ng==">CgMxLjAyCGguZ2pkZ3hzOABqJQoUc3VnZ2VzdC44ZXlqanprczJ0amkSDU9sZWtzaWkgTHlza2FqJQoUc3VnZ2VzdC5naTQ2cjR3dTRmeTcSDU9sZWtzaWkgTHlza2FqJQoUc3VnZ2VzdC5yYWc3aXB2enl0ejUSDU9sZWtzaWkgTHlza2FqJQoUc3VnZ2VzdC5kenM1N2l2bDU3ZHESDU9sZWtzaWkgTHlza2FqJQoUc3VnZ2VzdC5oYzBtaHVpOGc3eWsSDU9sZWtzaWkgTHlza2FqJQoUc3VnZ2VzdC51eng1YmFyYnJwM3USDU9sZWtzaWkgTHlza2FyITFIYUFqT2VuWjF6NUlWOUFzUzJuclpTZnBUaXRaMkEz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5353</Words>
  <Characters>3052</Characters>
  <Application>Microsoft Office Word</Application>
  <DocSecurity>0</DocSecurity>
  <Lines>25</Lines>
  <Paragraphs>16</Paragraphs>
  <ScaleCrop>false</ScaleCrop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2024-08-06T14:49:00Z</dcterms:created>
  <dcterms:modified xsi:type="dcterms:W3CDTF">2024-08-15T10:58:00Z</dcterms:modified>
</cp:coreProperties>
</file>