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14" w:rsidRDefault="00DA6F8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400993" cy="162476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993" cy="1624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5A14" w:rsidRDefault="00DA6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Додаток 1.1 Огляд проекту</w:t>
      </w:r>
    </w:p>
    <w:p w:rsidR="00125A14" w:rsidRDefault="00DA6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 тендеру Благодійної організації "Благодійний фонд "РОКАДА"</w:t>
      </w:r>
    </w:p>
    <w:p w:rsidR="00125A14" w:rsidRDefault="00DA6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highlight w:val="red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RFP </w:t>
      </w:r>
      <w:bookmarkStart w:id="0" w:name="_GoBack"/>
      <w:bookmarkEnd w:id="0"/>
      <w:r w:rsidR="007F3005" w:rsidRPr="001304D4">
        <w:rPr>
          <w:rFonts w:ascii="Times New Roman" w:eastAsia="Times New Roman" w:hAnsi="Times New Roman" w:cs="Times New Roman"/>
          <w:b/>
        </w:rPr>
        <w:t>06</w:t>
      </w:r>
      <w:r w:rsidRPr="001304D4">
        <w:rPr>
          <w:rFonts w:ascii="Times New Roman" w:eastAsia="Times New Roman" w:hAnsi="Times New Roman" w:cs="Times New Roman"/>
          <w:b/>
        </w:rPr>
        <w:t>/</w:t>
      </w:r>
      <w:r w:rsidR="007F3005" w:rsidRPr="001304D4">
        <w:rPr>
          <w:rFonts w:ascii="Times New Roman" w:eastAsia="Times New Roman" w:hAnsi="Times New Roman" w:cs="Times New Roman"/>
          <w:b/>
        </w:rPr>
        <w:t>01</w:t>
      </w:r>
      <w:r w:rsidRPr="001304D4">
        <w:rPr>
          <w:rFonts w:ascii="Times New Roman" w:eastAsia="Times New Roman" w:hAnsi="Times New Roman" w:cs="Times New Roman"/>
          <w:b/>
        </w:rPr>
        <w:t>/2</w:t>
      </w:r>
      <w:r w:rsidR="007F3005" w:rsidRPr="001304D4">
        <w:rPr>
          <w:rFonts w:ascii="Times New Roman" w:eastAsia="Times New Roman" w:hAnsi="Times New Roman" w:cs="Times New Roman"/>
          <w:b/>
        </w:rPr>
        <w:t>5</w:t>
      </w:r>
    </w:p>
    <w:p w:rsidR="00125A14" w:rsidRDefault="00DA6F8A" w:rsidP="007F3005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highlight w:val="white"/>
        </w:rPr>
        <w:t>для УКЛАДЕННЯ ДОГОВОРУ НА ПОСЛУГИ РЕАЛІЗАЦІЇ, РОЗМІЩЕННЯ, ЗАПУСКУ ТА ТЕХНІЧНОГО СУПРОВОДУ ОНЛАЙН-КУРСУ ВІДЕОЛЕКЦІЙ НА ТЕМУ</w:t>
      </w:r>
      <w:r>
        <w:rPr>
          <w:rFonts w:ascii="Times New Roman" w:eastAsia="Times New Roman" w:hAnsi="Times New Roman" w:cs="Times New Roman"/>
          <w:b/>
        </w:rPr>
        <w:t xml:space="preserve"> «ІНСТРУМЕНТИ РАДНИКА ЦЕНТРУ ЗАЙНЯТОСТІ: ЕФЕКТИВНІСТЬ, СТІЙКІСТЬ І ВЗАЄМОДІЯ»</w:t>
      </w:r>
    </w:p>
    <w:p w:rsidR="00125A14" w:rsidRDefault="00DA6F8A">
      <w:pPr>
        <w:spacing w:before="240"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«Розвиток потенціалу радників Державної служби зайнятості України» виконує Благодійна організація "Благодійний фонд "РОКАДА" коштом уряду Німеччини у співпраці з Державною службою зайнятості України за підтримки </w:t>
      </w:r>
      <w:proofErr w:type="spellStart"/>
      <w:r>
        <w:rPr>
          <w:rFonts w:ascii="Times New Roman" w:eastAsia="Times New Roman" w:hAnsi="Times New Roman" w:cs="Times New Roman"/>
        </w:rPr>
        <w:t>Deutsche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Gesellschaft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für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Internationale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Zusammenarbeit</w:t>
      </w:r>
      <w:proofErr w:type="spellEnd"/>
      <w:r>
        <w:rPr>
          <w:rFonts w:ascii="Times New Roman" w:eastAsia="Times New Roman" w:hAnsi="Times New Roman" w:cs="Times New Roman"/>
        </w:rPr>
        <w:t xml:space="preserve"> (GIZ) </w:t>
      </w:r>
      <w:proofErr w:type="spellStart"/>
      <w:r>
        <w:rPr>
          <w:rFonts w:ascii="Times New Roman" w:eastAsia="Times New Roman" w:hAnsi="Times New Roman" w:cs="Times New Roman"/>
        </w:rPr>
        <w:t>GmbH</w:t>
      </w:r>
      <w:proofErr w:type="spellEnd"/>
      <w:r>
        <w:rPr>
          <w:rFonts w:ascii="Times New Roman" w:eastAsia="Times New Roman" w:hAnsi="Times New Roman" w:cs="Times New Roman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«REYOIN - </w:t>
      </w:r>
      <w:proofErr w:type="spellStart"/>
      <w:r>
        <w:rPr>
          <w:rFonts w:ascii="Times New Roman" w:eastAsia="Times New Roman" w:hAnsi="Times New Roman" w:cs="Times New Roman"/>
        </w:rPr>
        <w:t>Cприяння</w:t>
      </w:r>
      <w:proofErr w:type="spellEnd"/>
      <w:r>
        <w:rPr>
          <w:rFonts w:ascii="Times New Roman" w:eastAsia="Times New Roman" w:hAnsi="Times New Roman" w:cs="Times New Roman"/>
        </w:rPr>
        <w:t xml:space="preserve"> соціально-економічній інтеграції українців, які повертаються з-за кордону, внутрішньо переміщених осіб та населення приймаючих громад в Україні». </w:t>
      </w:r>
    </w:p>
    <w:p w:rsidR="00125A14" w:rsidRDefault="00DA6F8A">
      <w:pPr>
        <w:spacing w:before="24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Мета проекту:</w:t>
      </w:r>
      <w:r>
        <w:rPr>
          <w:rFonts w:ascii="Times New Roman" w:eastAsia="Times New Roman" w:hAnsi="Times New Roman" w:cs="Times New Roman"/>
        </w:rPr>
        <w:t xml:space="preserve"> Метою проекту є розробка, проведення та подальше поширення навчального курсу «Інструменти радника центру зайнятості: ефективність, стійкість і взаємодія» для близько 4000 співробітників Центру зайнятості, приділяючи особливу увагу розвитку навичок MHPSS шляхом участі в онлайн-тренінгах та підсумковому форумі, що призводить до покращення їх здатності надавати індивідуальні послуги з працевлаштування, що сприяють створенню сприятливого та інклюзивного середовища та відповідають різноманітним потребам ринку праці.</w:t>
      </w:r>
    </w:p>
    <w:p w:rsidR="00125A14" w:rsidRDefault="00125A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</w:p>
    <w:p w:rsidR="00125A14" w:rsidRDefault="00125A1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125A14" w:rsidRDefault="00DA6F8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Основні принципи реалізації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125A14" w:rsidRDefault="00125A1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125A14" w:rsidRDefault="00DA6F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Реалізація проекту базується на розробці навчального курсу, який враховує результати оцінки потреб співробітників Центру зайнятості. Усі навчальні матеріали розробляються із урахуванням сучасних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методологій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навчання, практичного застосування та специфіки роботи з різними групами населення. Основні компоненти методології навчального курсу включають:</w:t>
      </w:r>
    </w:p>
    <w:p w:rsidR="00125A14" w:rsidRDefault="00125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25A14" w:rsidRDefault="00DA6F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навчального процесу</w:t>
      </w:r>
      <w:r>
        <w:rPr>
          <w:rFonts w:ascii="Times New Roman" w:eastAsia="Times New Roman" w:hAnsi="Times New Roman" w:cs="Times New Roman"/>
          <w:b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Проект спрямований на використання сучасних онлайн-технологій, таких як інтерактивні навчальні модулі, мережеві функції платформи та механізми сертифікації. Особливий акцент робиться на доступності платформи для всіх учасників.</w:t>
      </w:r>
    </w:p>
    <w:p w:rsidR="00125A14" w:rsidRDefault="00DA6F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і чутливість до потреб аудиторії</w:t>
      </w:r>
      <w:r>
        <w:rPr>
          <w:rFonts w:ascii="Times New Roman" w:eastAsia="Times New Roman" w:hAnsi="Times New Roman" w:cs="Times New Roman"/>
          <w:b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Навчальні матеріали орієнтовані на розвиток навичок роботи з різними групами населення, включаючи людей з інвалідністю, ветеранів та тих, хто пережив травматичний досвід. Усі </w:t>
      </w:r>
      <w:r>
        <w:rPr>
          <w:rFonts w:ascii="Times New Roman" w:eastAsia="Times New Roman" w:hAnsi="Times New Roman" w:cs="Times New Roman"/>
        </w:rPr>
        <w:t>матеріали</w:t>
      </w:r>
      <w:r>
        <w:rPr>
          <w:rFonts w:ascii="Times New Roman" w:eastAsia="Times New Roman" w:hAnsi="Times New Roman" w:cs="Times New Roman"/>
          <w:color w:val="000000"/>
        </w:rPr>
        <w:t xml:space="preserve"> спрямовані на формування безпечного та інклюзивного середовища 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бенефіціарів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125A14" w:rsidRDefault="00DA6F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Розвиток професійних компетенцій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. </w:t>
      </w:r>
      <w:r w:rsidRPr="007F3005">
        <w:rPr>
          <w:rFonts w:ascii="Times New Roman" w:eastAsia="Times New Roman" w:hAnsi="Times New Roman" w:cs="Times New Roman"/>
          <w:color w:val="000000"/>
        </w:rPr>
        <w:t>Курс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розробляється для покращення навичок MHPSS (психосоціальна підтримка та психічне здоров’я), ефективної комунікації, управління стресом, створення стійкості та вирішення конфліктів. Це сприятиме підвищенню якості послуг, що надаються співробітниками Центру зайнятості.</w:t>
      </w:r>
    </w:p>
    <w:p w:rsidR="00125A14" w:rsidRDefault="00DA6F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Тривалий вплив і сталий розвиток</w:t>
      </w:r>
      <w:r>
        <w:rPr>
          <w:rFonts w:ascii="Times New Roman" w:eastAsia="Times New Roman" w:hAnsi="Times New Roman" w:cs="Times New Roman"/>
          <w:b/>
          <w:i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Після завершення проекту матеріали курсу залишаються доступними на платформі електронного навчання. Це забезпечує їх тривале використання та </w:t>
      </w:r>
      <w:r>
        <w:rPr>
          <w:rFonts w:ascii="Times New Roman" w:eastAsia="Times New Roman" w:hAnsi="Times New Roman" w:cs="Times New Roman"/>
        </w:rPr>
        <w:t>можливості розвитку професійних навичок працівників, що приєднаються пізніше</w:t>
      </w:r>
      <w:r>
        <w:rPr>
          <w:rFonts w:ascii="Roboto" w:eastAsia="Roboto" w:hAnsi="Roboto" w:cs="Roboto"/>
          <w:color w:val="444746"/>
          <w:highlight w:val="white"/>
        </w:rPr>
        <w:t>.</w:t>
      </w:r>
    </w:p>
    <w:p w:rsidR="00125A14" w:rsidRDefault="00125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25A14" w:rsidRDefault="00DA6F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Досягнення мети </w:t>
      </w:r>
      <w:r>
        <w:rPr>
          <w:rFonts w:ascii="Times New Roman" w:eastAsia="Times New Roman" w:hAnsi="Times New Roman" w:cs="Times New Roman"/>
          <w:b/>
        </w:rPr>
        <w:t>проекту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забезпечується за рахунок реалізації наступних етапів:</w:t>
      </w:r>
    </w:p>
    <w:p w:rsidR="00125A14" w:rsidRDefault="00DA6F8A">
      <w:pPr>
        <w:pStyle w:val="4"/>
        <w:spacing w:before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Підготовчий етап та розробка навчального контенту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Аналіз потреб аудиторії: вивчення специфіки роботи співробітників Центру зайнятості для створення актуального контенту, аналіз ролі кожної зі сторін у </w:t>
      </w:r>
      <w:proofErr w:type="spellStart"/>
      <w:r>
        <w:rPr>
          <w:rFonts w:ascii="Times New Roman" w:eastAsia="Times New Roman" w:hAnsi="Times New Roman" w:cs="Times New Roman"/>
        </w:rPr>
        <w:t>проєкті</w:t>
      </w:r>
      <w:proofErr w:type="spellEnd"/>
      <w:r>
        <w:rPr>
          <w:rFonts w:ascii="Times New Roman" w:eastAsia="Times New Roman" w:hAnsi="Times New Roman" w:cs="Times New Roman"/>
        </w:rPr>
        <w:t>, їхніх очікувань та можливого внеску, визначення спільних цілей і підходів до досягнення бажаних результатів.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Замовник ф</w:t>
      </w:r>
      <w:sdt>
        <w:sdtPr>
          <w:tag w:val="goog_rdk_0"/>
          <w:id w:val="-615600667"/>
        </w:sdtPr>
        <w:sdtEndPr/>
        <w:sdtContent/>
      </w:sdt>
      <w:sdt>
        <w:sdtPr>
          <w:tag w:val="goog_rdk_1"/>
          <w:id w:val="-1619141208"/>
        </w:sdtPr>
        <w:sdtEndPr/>
        <w:sdtContent/>
      </w:sdt>
      <w:sdt>
        <w:sdtPr>
          <w:tag w:val="goog_rdk_2"/>
          <w:id w:val="-298691518"/>
        </w:sdtPr>
        <w:sdtEndPr/>
        <w:sdtContent/>
      </w:sdt>
      <w:sdt>
        <w:sdtPr>
          <w:tag w:val="goog_rdk_3"/>
          <w:id w:val="-803543532"/>
        </w:sdtPr>
        <w:sdtEndPr/>
        <w:sdtContent/>
      </w:sdt>
      <w:r>
        <w:rPr>
          <w:rFonts w:ascii="Times New Roman" w:eastAsia="Times New Roman" w:hAnsi="Times New Roman" w:cs="Times New Roman"/>
        </w:rPr>
        <w:t>орму</w:t>
      </w:r>
      <w:sdt>
        <w:sdtPr>
          <w:tag w:val="goog_rdk_4"/>
          <w:id w:val="-54390483"/>
        </w:sdtPr>
        <w:sdtEndPr/>
        <w:sdtContent>
          <w:r>
            <w:rPr>
              <w:rFonts w:ascii="Times New Roman" w:eastAsia="Times New Roman" w:hAnsi="Times New Roman" w:cs="Times New Roman"/>
            </w:rPr>
            <w:t>є</w:t>
          </w:r>
        </w:sdtContent>
      </w:sdt>
      <w:r w:rsidR="007F30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команди експертів: залучення методологів, викладачів, лекторів. 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Розробка текстового контенту: написання текстів лекцій, завдань та додаткових матеріалів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Розробка технічного завдання: формування вимог до платформи та курсу, пошук технічних фахівців та дизайнерів.</w:t>
      </w:r>
    </w:p>
    <w:p w:rsidR="00125A14" w:rsidRDefault="00125A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5A14" w:rsidRDefault="00DA6F8A">
      <w:pPr>
        <w:pStyle w:val="4"/>
        <w:spacing w:before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Створення контенту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Створення навчального дизайну: редагування текстів, підготовка структури курсу, системи оцінювання, сценаріїв лекцій, завдань.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Розроблення концепції відео-курсу: створення стилістики з урахуванням наданих </w:t>
      </w:r>
      <w:proofErr w:type="spellStart"/>
      <w:r>
        <w:rPr>
          <w:rFonts w:ascii="Times New Roman" w:eastAsia="Times New Roman" w:hAnsi="Times New Roman" w:cs="Times New Roman"/>
        </w:rPr>
        <w:t>референсів</w:t>
      </w:r>
      <w:proofErr w:type="spellEnd"/>
      <w:r>
        <w:rPr>
          <w:rFonts w:ascii="Times New Roman" w:eastAsia="Times New Roman" w:hAnsi="Times New Roman" w:cs="Times New Roman"/>
        </w:rPr>
        <w:t>, надання пропозицій щодо набору візуальних ефектів (графіка, схеми, субтитри, візуалізація даних).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Організація зйомок: залучення професійної команди для зйомки лекцій у студії.</w:t>
      </w:r>
    </w:p>
    <w:p w:rsidR="00125A14" w:rsidRDefault="00DA6F8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Редагування: монтаж відеоматеріалів, додавання графіки, звуку та анімації.</w:t>
      </w:r>
    </w:p>
    <w:p w:rsidR="00125A14" w:rsidRDefault="00125A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5A14" w:rsidRDefault="00DA6F8A">
      <w:pPr>
        <w:pStyle w:val="4"/>
        <w:spacing w:before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Розгортання на платформі</w:t>
      </w:r>
    </w:p>
    <w:p w:rsidR="00125A14" w:rsidRDefault="00DA6F8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Тестування платформи: перевірка функціоналу перед запуском.</w:t>
      </w:r>
    </w:p>
    <w:p w:rsidR="00125A14" w:rsidRDefault="00DA6F8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Завантаження контенту: забезпечення технічного супроводу розміщення відео-курсу на платформі онлайн-освіти.</w:t>
      </w:r>
    </w:p>
    <w:p w:rsidR="00125A14" w:rsidRDefault="00125A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5A14" w:rsidRDefault="00DA6F8A">
      <w:pPr>
        <w:pStyle w:val="4"/>
        <w:spacing w:before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Комунікаційна кампанія</w:t>
      </w:r>
    </w:p>
    <w:p w:rsidR="00125A14" w:rsidRDefault="00DA6F8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Розробка рекламних матеріалів: запуск рекламних матеріалів для залучення широкої аудиторії через цифрові комунікаційні канали.</w:t>
      </w:r>
    </w:p>
    <w:p w:rsidR="00125A14" w:rsidRDefault="00DA6F8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Проведення інформаційної розсилки для зареєстрованих користувачів платформи.</w:t>
      </w:r>
    </w:p>
    <w:p w:rsidR="00125A14" w:rsidRDefault="00125A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5A14" w:rsidRDefault="00DA6F8A">
      <w:pPr>
        <w:pStyle w:val="4"/>
        <w:spacing w:before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Запуск курсу та супровід учасників</w:t>
      </w:r>
    </w:p>
    <w:p w:rsidR="00125A14" w:rsidRDefault="00DA6F8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Технічна підтримка: налагодження оперативної допомоги учасникам у разі технічних проблем.</w:t>
      </w:r>
    </w:p>
    <w:p w:rsidR="00125A14" w:rsidRDefault="00DA6F8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даних і зворотного зв’язку: аналіз статистики курсу та відгуків учасників.</w:t>
      </w:r>
    </w:p>
    <w:p w:rsidR="00125A14" w:rsidRDefault="00125A1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25A14" w:rsidRDefault="00DA6F8A">
      <w:pPr>
        <w:pStyle w:val="4"/>
        <w:spacing w:before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Оцінка результатів </w:t>
      </w:r>
    </w:p>
    <w:p w:rsidR="00125A14" w:rsidRDefault="00DA6F8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Підготовка аналітичної записки за результатами проходження курсу після 1 та 2 місяця проходження курсу (або за запитом)</w:t>
      </w:r>
    </w:p>
    <w:p w:rsidR="00125A14" w:rsidRDefault="00DA6F8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Видача сертифікатів: Нагородження успішних учасників.</w:t>
      </w:r>
    </w:p>
    <w:p w:rsidR="00125A14" w:rsidRDefault="00125A1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25A14" w:rsidRDefault="00DA6F8A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Вищезазначене має привести до отримання наступного результату: </w:t>
      </w:r>
    </w:p>
    <w:p w:rsidR="00125A14" w:rsidRDefault="00DA6F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i/>
        </w:rPr>
        <w:t>Розроблений та впроваджений навчальний курс.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Повністю розроблений навчальний курс із використанням сучасних </w:t>
      </w:r>
      <w:proofErr w:type="spellStart"/>
      <w:r>
        <w:rPr>
          <w:rFonts w:ascii="Times New Roman" w:eastAsia="Times New Roman" w:hAnsi="Times New Roman" w:cs="Times New Roman"/>
        </w:rPr>
        <w:t>методик</w:t>
      </w:r>
      <w:proofErr w:type="spellEnd"/>
      <w:r>
        <w:rPr>
          <w:rFonts w:ascii="Times New Roman" w:eastAsia="Times New Roman" w:hAnsi="Times New Roman" w:cs="Times New Roman"/>
        </w:rPr>
        <w:t xml:space="preserve">, що включає </w:t>
      </w:r>
      <w:proofErr w:type="spellStart"/>
      <w:r>
        <w:rPr>
          <w:rFonts w:ascii="Times New Roman" w:eastAsia="Times New Roman" w:hAnsi="Times New Roman" w:cs="Times New Roman"/>
        </w:rPr>
        <w:t>відеолекції</w:t>
      </w:r>
      <w:proofErr w:type="spellEnd"/>
      <w:r>
        <w:rPr>
          <w:rFonts w:ascii="Times New Roman" w:eastAsia="Times New Roman" w:hAnsi="Times New Roman" w:cs="Times New Roman"/>
        </w:rPr>
        <w:t>, тестові завдання, текстові матеріали, візуальні елементи, інтерактивні рефлексії. Матеріали курсу покривають ключові аспекти MHPSS (психосоціальна підтримка та психічне здоров’я), ефективної комунікації, управління стресом, роботи з різними групами населення.</w:t>
      </w:r>
    </w:p>
    <w:p w:rsidR="00125A14" w:rsidRDefault="00DA6F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Підвищення професійних компетенцій співробітників</w:t>
      </w:r>
      <w:r>
        <w:rPr>
          <w:rFonts w:ascii="Times New Roman" w:eastAsia="Times New Roman" w:hAnsi="Times New Roman" w:cs="Times New Roman"/>
        </w:rPr>
        <w:t xml:space="preserve"> Центру зайнятості, які отримали практичні навички, необхідні для надання індивідуальних послуг з працевлаштування. Набуті навички підтримки людей із травматичним досвідом, інклюзивного підходу до роботи з різними групами населення, ефективної комунікації та стратегії </w:t>
      </w:r>
      <w:proofErr w:type="spellStart"/>
      <w:r>
        <w:rPr>
          <w:rFonts w:ascii="Times New Roman" w:eastAsia="Times New Roman" w:hAnsi="Times New Roman" w:cs="Times New Roman"/>
        </w:rPr>
        <w:t>стресостійкості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25A14" w:rsidRDefault="00DA6F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Покращення якості надання послуг Центрами зайнятості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Співробітники, які пройшли курс, зможуть впроваджувати нові практики, орієнтовані на створення сприятливого та інклюзивного </w:t>
      </w:r>
      <w:r>
        <w:rPr>
          <w:rFonts w:ascii="Times New Roman" w:eastAsia="Times New Roman" w:hAnsi="Times New Roman" w:cs="Times New Roman"/>
        </w:rPr>
        <w:lastRenderedPageBreak/>
        <w:t>середовища для клієнтів – таким чином, збільшується рівень задоволеності клієнтів завдяки індивідуалізованому підходу до працевлаштування.</w:t>
      </w:r>
    </w:p>
    <w:p w:rsidR="00125A14" w:rsidRDefault="00DA6F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Аналітика та довгостроковий вплив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Зібрано та проаналізовано ключові показники ефективності курсу, такі як рівень завершення, задоволеність учасників, показники покращення послуг у Центрах зайнятості. </w:t>
      </w:r>
    </w:p>
    <w:p w:rsidR="00125A14" w:rsidRDefault="00125A14" w:rsidP="007F30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5A14" w:rsidRDefault="00DA6F8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З оглядом проекту ознайомлені,</w:t>
      </w:r>
    </w:p>
    <w:p w:rsidR="00125A14" w:rsidRDefault="00DA6F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</w:p>
    <w:tbl>
      <w:tblPr>
        <w:tblStyle w:val="aff2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851"/>
        <w:gridCol w:w="259"/>
      </w:tblGrid>
      <w:tr w:rsidR="00125A14" w:rsidTr="007F3005">
        <w:trPr>
          <w:trHeight w:val="340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DA6F8A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Учасника: ______________________________________________________</w:t>
            </w:r>
          </w:p>
          <w:p w:rsidR="00125A14" w:rsidRDefault="00DA6F8A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005">
              <w:rPr>
                <w:rFonts w:ascii="Times New Roman" w:eastAsia="Times New Roman" w:hAnsi="Times New Roman" w:cs="Times New Roman"/>
                <w:color w:val="000000"/>
                <w:sz w:val="16"/>
              </w:rPr>
              <w:t>(Особа(и), уповноваженої підписувати від імені учасника тендеру)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A14" w:rsidTr="007F3005">
        <w:trPr>
          <w:trHeight w:val="340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DA6F8A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A14" w:rsidTr="007F3005">
        <w:trPr>
          <w:trHeight w:val="34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DA6F8A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Електронна пошта та мобільний телефон учасника ______________________________________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</w:tr>
      <w:tr w:rsidR="00125A14" w:rsidTr="007F3005">
        <w:trPr>
          <w:trHeight w:val="34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DA6F8A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A14" w:rsidTr="007F3005">
        <w:trPr>
          <w:trHeight w:val="34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DA6F8A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5A14" w:rsidRDefault="00125A14" w:rsidP="007F3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5A14" w:rsidRDefault="00125A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5A14" w:rsidRDefault="00125A14"/>
    <w:sectPr w:rsidR="00125A14">
      <w:headerReference w:type="default" r:id="rId9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351" w:rsidRDefault="00CD5351">
      <w:pPr>
        <w:spacing w:after="0" w:line="240" w:lineRule="auto"/>
      </w:pPr>
      <w:r>
        <w:separator/>
      </w:r>
    </w:p>
  </w:endnote>
  <w:endnote w:type="continuationSeparator" w:id="0">
    <w:p w:rsidR="00CD5351" w:rsidRDefault="00CD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351" w:rsidRDefault="00CD5351">
      <w:pPr>
        <w:spacing w:after="0" w:line="240" w:lineRule="auto"/>
      </w:pPr>
      <w:r>
        <w:separator/>
      </w:r>
    </w:p>
  </w:footnote>
  <w:footnote w:type="continuationSeparator" w:id="0">
    <w:p w:rsidR="00CD5351" w:rsidRDefault="00CD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14" w:rsidRDefault="00125A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51CD"/>
    <w:multiLevelType w:val="multilevel"/>
    <w:tmpl w:val="F704F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9019D0"/>
    <w:multiLevelType w:val="multilevel"/>
    <w:tmpl w:val="F26CB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7D7610"/>
    <w:multiLevelType w:val="multilevel"/>
    <w:tmpl w:val="229644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1D08F1"/>
    <w:multiLevelType w:val="multilevel"/>
    <w:tmpl w:val="8DF42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FEA3015"/>
    <w:multiLevelType w:val="multilevel"/>
    <w:tmpl w:val="A830C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D0934D0"/>
    <w:multiLevelType w:val="multilevel"/>
    <w:tmpl w:val="98EE6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14"/>
    <w:rsid w:val="00125A14"/>
    <w:rsid w:val="001304D4"/>
    <w:rsid w:val="007F3005"/>
    <w:rsid w:val="00CD5351"/>
    <w:rsid w:val="00D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A99D-F32A-4B5F-A059-0B70D9E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paragraph" w:styleId="1">
    <w:name w:val="heading 1"/>
    <w:basedOn w:val="a"/>
    <w:next w:val="a"/>
    <w:link w:val="10"/>
    <w:uiPriority w:val="9"/>
    <w:qFormat/>
    <w:rsid w:val="0073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D16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F2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2680"/>
  </w:style>
  <w:style w:type="paragraph" w:styleId="a6">
    <w:name w:val="footer"/>
    <w:basedOn w:val="a"/>
    <w:link w:val="a7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2680"/>
  </w:style>
  <w:style w:type="table" w:styleId="a8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1 Буллет,AC List 01,заголовок 1.1,название табл/рис,Список уровня 2,List Paragraph (numbered (a)),List_Paragraph,Multilevel para_II,List Paragraph-ExecSummary,Akapit z listą BS,Bullets,List Paragraph 1,References,IBL List Paragraph"/>
    <w:basedOn w:val="a"/>
    <w:link w:val="aa"/>
    <w:uiPriority w:val="34"/>
    <w:qFormat/>
    <w:rsid w:val="00CD407A"/>
    <w:pPr>
      <w:ind w:left="720"/>
      <w:contextualSpacing/>
    </w:pPr>
  </w:style>
  <w:style w:type="character" w:customStyle="1" w:styleId="aa">
    <w:name w:val="Абзац списку Знак"/>
    <w:aliases w:val="1 Буллет Знак,AC List 01 Знак,заголовок 1.1 Знак,название табл/рис Знак,Список уровня 2 Знак,List Paragraph (numbered (a)) Знак,List_Paragraph Знак,Multilevel para_II Знак,List Paragraph-ExecSummary Знак,Akapit z listą BS Знак"/>
    <w:link w:val="a9"/>
    <w:uiPriority w:val="34"/>
    <w:rsid w:val="00CD407A"/>
  </w:style>
  <w:style w:type="paragraph" w:styleId="ab">
    <w:name w:val="Normal (Web)"/>
    <w:basedOn w:val="a"/>
    <w:uiPriority w:val="99"/>
    <w:unhideWhenUsed/>
    <w:rsid w:val="00A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66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Strong"/>
    <w:basedOn w:val="a0"/>
    <w:uiPriority w:val="22"/>
    <w:qFormat/>
    <w:rsid w:val="00D16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F2E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F94E0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94E04"/>
    <w:pPr>
      <w:spacing w:line="240" w:lineRule="auto"/>
    </w:pPr>
    <w:rPr>
      <w:sz w:val="20"/>
      <w:szCs w:val="20"/>
    </w:rPr>
  </w:style>
  <w:style w:type="character" w:customStyle="1" w:styleId="afc">
    <w:name w:val="Текст примітки Знак"/>
    <w:basedOn w:val="a0"/>
    <w:link w:val="afb"/>
    <w:uiPriority w:val="99"/>
    <w:semiHidden/>
    <w:rsid w:val="00F94E0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94E04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F94E0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9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у виносці Знак"/>
    <w:basedOn w:val="a0"/>
    <w:link w:val="aff"/>
    <w:uiPriority w:val="99"/>
    <w:semiHidden/>
    <w:rsid w:val="00F94E04"/>
    <w:rPr>
      <w:rFonts w:ascii="Segoe UI" w:hAnsi="Segoe UI" w:cs="Segoe UI"/>
      <w:sz w:val="18"/>
      <w:szCs w:val="18"/>
    </w:r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tAbyBJWSUuzjyifIMPMNrke0A==">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4164</Words>
  <Characters>2375</Characters>
  <Application>Microsoft Office Word</Application>
  <DocSecurity>0</DocSecurity>
  <Lines>19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2024-12-30T16:44:00Z</dcterms:created>
  <dcterms:modified xsi:type="dcterms:W3CDTF">2025-01-07T09:23:00Z</dcterms:modified>
</cp:coreProperties>
</file>