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AD" w:rsidRDefault="00612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12FAD" w:rsidRDefault="00612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12FAD" w:rsidRDefault="00612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12FAD" w:rsidRDefault="00612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12FAD" w:rsidRDefault="00061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9050" distB="19050" distL="19050" distR="19050">
            <wp:extent cx="1199833" cy="750974"/>
            <wp:effectExtent l="0" t="0" r="0" b="0"/>
            <wp:docPr id="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833" cy="750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9050" distB="19050" distL="19050" distR="19050">
            <wp:extent cx="1999933" cy="690242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933" cy="690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>
            <wp:extent cx="1314133" cy="417185"/>
            <wp:effectExtent l="0" t="0" r="0" b="0"/>
            <wp:docPr id="22" name="image2.png" descr="0-02-05-00634a23782b90eafdc0c698b52933c9f6704d7e51330edccbac53bb4dea9675_182bc7691abf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0-02-05-00634a23782b90eafdc0c698b52933c9f6704d7e51330edccbac53bb4dea9675_182bc7691abf5330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3" cy="417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3430422</wp:posOffset>
            </wp:positionH>
            <wp:positionV relativeFrom="paragraph">
              <wp:posOffset>257175</wp:posOffset>
            </wp:positionV>
            <wp:extent cx="1255877" cy="464503"/>
            <wp:effectExtent l="0" t="0" r="0" b="0"/>
            <wp:wrapSquare wrapText="bothSides" distT="19050" distB="19050" distL="19050" distR="1905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877" cy="464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2FAD" w:rsidRDefault="00612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FAD" w:rsidRDefault="00061F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Додаток 1.1 Огляд проекту</w:t>
      </w:r>
    </w:p>
    <w:p w:rsidR="00612FAD" w:rsidRDefault="00061F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 тендеру Благодійної організації "Благодійний фонд "РОКАДА"</w:t>
      </w:r>
    </w:p>
    <w:p w:rsidR="00612FAD" w:rsidRDefault="00061F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highlight w:val="re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RFP </w:t>
      </w:r>
      <w:r w:rsidR="00D9164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30</w:t>
      </w:r>
      <w:bookmarkStart w:id="0" w:name="_GoBack"/>
      <w:bookmarkEnd w:id="0"/>
      <w:r w:rsidR="008E4ACD" w:rsidRPr="008E4AC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/0</w:t>
      </w:r>
      <w:r w:rsidR="009455C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</w:t>
      </w:r>
      <w:r w:rsidR="008E4ACD" w:rsidRPr="008E4AC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/2</w:t>
      </w:r>
      <w:r w:rsidR="00F255D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</w:t>
      </w:r>
    </w:p>
    <w:p w:rsidR="00612FAD" w:rsidRDefault="00061F4C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для УКЛАДЕННЯ РАМКОВОГО ДОГОВОРУ(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) НА ПОСЛУГИ ЕКСПЕРТНОЇ ПІДТРИМКИ ДЛЯ ОРГАНІЗАЦІЙ ГРОМАДЯНСЬКОГО СУСПІЛЬСТВА В СУМСЬКІЙ, ХАРКІВСЬКІЙ ТА ДНІПРОПЕТРОВСЬКІЙ ОБЛАСТЯХ   </w:t>
      </w:r>
    </w:p>
    <w:p w:rsidR="00612FAD" w:rsidRDefault="00061F4C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“Посилення через Єдність: Підтримка зміцнення потенціалу місцевих ГО в Сумській, Харківській, Дніпропетровській областях” здійснюється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мультидонорського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«Посилення потенціалу спільнот на півдні та сході України через місцеві ініціативи (EMPOWER)», що фінансується Федеральним міністерством економічного співробітництва та розвитку (BMZ) спільно з Генеральним Директоратом Європейської Комісії з питань цивільного захисту та гуманітарної допомоги та реалізується Німецьким товариством міжнародного співробітництва (GIZ)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ГмбХ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12FAD" w:rsidRDefault="00612F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Мета проекту:</w:t>
      </w:r>
      <w:r>
        <w:rPr>
          <w:rFonts w:ascii="Times New Roman" w:eastAsia="Times New Roman" w:hAnsi="Times New Roman" w:cs="Times New Roman"/>
          <w:color w:val="000000"/>
        </w:rPr>
        <w:t xml:space="preserve"> Посилити організаційну спроможність місцевих організацій громадянського суспільства (далі – ОГС), що працюють у Сумській, Харківській та Дніпропетровській областях України, шляхом визначення проблематики розвитку певних ОГС та відповідно до цього - проведення тренінгів, консультацій, менторської підтримки, передачі знань, розвитку навичок та створення мережі для горизонтальної комунікації та співпраці з місцевими органами влади. 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Основні принципи реалізації </w:t>
      </w:r>
      <w:proofErr w:type="spellStart"/>
      <w:r>
        <w:rPr>
          <w:rFonts w:ascii="Times New Roman" w:eastAsia="Times New Roman" w:hAnsi="Times New Roman" w:cs="Times New Roman"/>
          <w:b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Розбудова потенціалу, організаційний розвиток та посилення організацій громадянського суспільства під час реалізації проектів відбувається через наставництво, навчальні заходи, розвиток навичок, налагодження контактів та передачу знань. Основні компоненти методології наставництва включають: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Сприяння навчанню за принципом «рівний-рівному». Наставництво заохочує обмін знаннями між ОГС та їхніми партнерами.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Підхід </w:t>
      </w:r>
      <w:proofErr w:type="spellStart"/>
      <w:r>
        <w:rPr>
          <w:rFonts w:ascii="Times New Roman" w:eastAsia="Times New Roman" w:hAnsi="Times New Roman" w:cs="Times New Roman"/>
        </w:rPr>
        <w:t>менторства</w:t>
      </w:r>
      <w:proofErr w:type="spellEnd"/>
      <w:r>
        <w:rPr>
          <w:rFonts w:ascii="Times New Roman" w:eastAsia="Times New Roman" w:hAnsi="Times New Roman" w:cs="Times New Roman"/>
        </w:rPr>
        <w:t xml:space="preserve"> фокусується на розвитку та використанні існуючих сильних сторін ОГС. Замість того, щоб просто виявляти прогалини, він спрямований на посилення та використання поточних можливостей організації. Особливу роль у розвитку сильних сторін ОГС відіграють експерти.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Сприяння розвитку </w:t>
      </w:r>
      <w:proofErr w:type="spellStart"/>
      <w:r>
        <w:rPr>
          <w:rFonts w:ascii="Times New Roman" w:eastAsia="Times New Roman" w:hAnsi="Times New Roman" w:cs="Times New Roman"/>
        </w:rPr>
        <w:t>зв'язків</w:t>
      </w:r>
      <w:proofErr w:type="spellEnd"/>
      <w:r>
        <w:rPr>
          <w:rFonts w:ascii="Times New Roman" w:eastAsia="Times New Roman" w:hAnsi="Times New Roman" w:cs="Times New Roman"/>
        </w:rPr>
        <w:t xml:space="preserve"> та співпраці. Цей підхід сприяє співпраці між місцевими та національними суб'єктами. Розвиваючи партнерства, ОГС можуть доповнювати зусилля одна одної та створювати більш згуртований та впливовий сектор громадянського суспільства.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Досягнення мети </w:t>
      </w:r>
      <w:r>
        <w:rPr>
          <w:rFonts w:ascii="Times New Roman" w:eastAsia="Times New Roman" w:hAnsi="Times New Roman" w:cs="Times New Roman"/>
          <w:b/>
        </w:rPr>
        <w:t>проекту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забезпечується за рахунок реалізації наступних етапів: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Етап 1. Розробка методології оцінки спроможності діяльності ОГС.</w:t>
      </w:r>
    </w:p>
    <w:p w:rsidR="00612FAD" w:rsidRDefault="00061F4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розробку відповідає залучена команда експертів з 3 осіб, які мають експертизу у одній із сфер:</w:t>
      </w:r>
    </w:p>
    <w:p w:rsidR="00612FAD" w:rsidRDefault="00061F4C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Стратегічне та операційне управління в неприбуткових організаціях.</w:t>
      </w:r>
    </w:p>
    <w:p w:rsidR="00612FAD" w:rsidRDefault="00061F4C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Соціальна допомога вразливим верствам населення.</w:t>
      </w:r>
    </w:p>
    <w:p w:rsidR="00612FAD" w:rsidRDefault="00061F4C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Фандрайзинг та управління проектами.</w:t>
      </w:r>
    </w:p>
    <w:p w:rsidR="00612FAD" w:rsidRDefault="00612FAD">
      <w:pPr>
        <w:spacing w:after="0" w:line="276" w:lineRule="auto"/>
        <w:ind w:left="600"/>
        <w:jc w:val="both"/>
        <w:rPr>
          <w:rFonts w:ascii="Times New Roman" w:eastAsia="Times New Roman" w:hAnsi="Times New Roman" w:cs="Times New Roman"/>
        </w:rPr>
      </w:pPr>
    </w:p>
    <w:p w:rsidR="00612FAD" w:rsidRDefault="00612FA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612FAD" w:rsidRDefault="00061F4C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Розроблена методологія оцінки </w:t>
      </w:r>
      <w:proofErr w:type="spellStart"/>
      <w:r>
        <w:rPr>
          <w:rFonts w:ascii="Times New Roman" w:eastAsia="Times New Roman" w:hAnsi="Times New Roman" w:cs="Times New Roman"/>
        </w:rPr>
        <w:t>спроможностіОГС</w:t>
      </w:r>
      <w:proofErr w:type="spellEnd"/>
      <w:r>
        <w:rPr>
          <w:rFonts w:ascii="Times New Roman" w:eastAsia="Times New Roman" w:hAnsi="Times New Roman" w:cs="Times New Roman"/>
        </w:rPr>
        <w:t xml:space="preserve"> має </w:t>
      </w:r>
      <w:proofErr w:type="spellStart"/>
      <w:r>
        <w:rPr>
          <w:rFonts w:ascii="Times New Roman" w:eastAsia="Times New Roman" w:hAnsi="Times New Roman" w:cs="Times New Roman"/>
        </w:rPr>
        <w:t>грунтуватися</w:t>
      </w:r>
      <w:proofErr w:type="spellEnd"/>
      <w:r>
        <w:rPr>
          <w:rFonts w:ascii="Times New Roman" w:eastAsia="Times New Roman" w:hAnsi="Times New Roman" w:cs="Times New Roman"/>
        </w:rPr>
        <w:t xml:space="preserve"> основі визначеного переліку компонентів та сфер потенціалу обраних ОГС: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Місія та стратегічне планування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Структура правління та стилі управління 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Спроможність адаптуватись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Партнерство та співпраця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Роль в секторі 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Надання послуг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Фінансова життєздатність та мобілізація ресурсів</w:t>
      </w:r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Вплив та </w:t>
      </w:r>
      <w:proofErr w:type="spellStart"/>
      <w:r>
        <w:rPr>
          <w:rFonts w:ascii="Times New Roman" w:eastAsia="Times New Roman" w:hAnsi="Times New Roman" w:cs="Times New Roman"/>
        </w:rPr>
        <w:t>візабіліті</w:t>
      </w:r>
      <w:proofErr w:type="spellEnd"/>
    </w:p>
    <w:p w:rsidR="00612FAD" w:rsidRDefault="00061F4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Безпека ОГС</w:t>
      </w:r>
    </w:p>
    <w:p w:rsidR="00612FAD" w:rsidRDefault="00612FA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Етап 2. Проведення навчання для менторів.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Залучена команда експертів з 3 осіб проводить навчання для команди менторів по проведенню методики оцінювання спроможності діяльності ОГС відповідно до розробленої та затвердженої методології оцінки.</w:t>
      </w:r>
    </w:p>
    <w:p w:rsidR="00612FAD" w:rsidRDefault="00612FA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Етап 3. Початкова оцінка ОГС.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Команда залучених менторів проводить оцінку спроможності діяльності ОГС відповідно до наступних стадій: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       Технічна оцінка: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Збір та аналіз статутів, стратегій, політик та інших ключових документів кожної організації у відповідності до затвердженого переліку (чек-</w:t>
      </w:r>
      <w:proofErr w:type="spellStart"/>
      <w:r>
        <w:rPr>
          <w:rFonts w:ascii="Times New Roman" w:eastAsia="Times New Roman" w:hAnsi="Times New Roman" w:cs="Times New Roman"/>
        </w:rPr>
        <w:t>лісту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Формування профілю кожної організації на основі зібраних документів.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 стадії: Профіль кожної організації, що включає аналіз наявних документів та виявлені сильні та слабкі сторони.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       Індивідуальна оцінка: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Розробка та розповсюдження опитувальника/анкет серед команди організації.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Збір та аналіз відповідей для виявлення ключових аспектів діяльності та поточних викликів.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 стадії: Загальний звіт по кожній організації, що включає оцінку внутрішніх </w:t>
      </w:r>
      <w:proofErr w:type="spellStart"/>
      <w:r>
        <w:rPr>
          <w:rFonts w:ascii="Times New Roman" w:eastAsia="Times New Roman" w:hAnsi="Times New Roman" w:cs="Times New Roman"/>
        </w:rPr>
        <w:t>спроможностей</w:t>
      </w:r>
      <w:proofErr w:type="spellEnd"/>
      <w:r>
        <w:rPr>
          <w:rFonts w:ascii="Times New Roman" w:eastAsia="Times New Roman" w:hAnsi="Times New Roman" w:cs="Times New Roman"/>
        </w:rPr>
        <w:t xml:space="preserve"> та виявлені потреби ОГС на основі результатів </w:t>
      </w:r>
      <w:proofErr w:type="spellStart"/>
      <w:r>
        <w:rPr>
          <w:rFonts w:ascii="Times New Roman" w:eastAsia="Times New Roman" w:hAnsi="Times New Roman" w:cs="Times New Roman"/>
        </w:rPr>
        <w:t>опитника</w:t>
      </w:r>
      <w:proofErr w:type="spellEnd"/>
      <w:r>
        <w:rPr>
          <w:rFonts w:ascii="Times New Roman" w:eastAsia="Times New Roman" w:hAnsi="Times New Roman" w:cs="Times New Roman"/>
        </w:rPr>
        <w:t xml:space="preserve"> команди.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       Експертна оцінка: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Візит ментора до місця діяльності організації.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Спілкування з керівництвом та командою організації.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Проведення фокус-групи з використанням чек-листа питань по розробленій методології.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 стадії: Звіт експерта, що включає спостереження, висновки та рекомендації на основі живого спілкування та оцінки діяльності організації.</w:t>
      </w:r>
    </w:p>
    <w:p w:rsidR="00612FAD" w:rsidRDefault="00612FAD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Етап 4. Розробка рекомендацій та планів дій.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Аналіз менторами даних та інформації, зібраних під час первинної оцінки.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Ментори аналізують </w:t>
      </w:r>
      <w:proofErr w:type="spellStart"/>
      <w:r>
        <w:rPr>
          <w:rFonts w:ascii="Times New Roman" w:eastAsia="Times New Roman" w:hAnsi="Times New Roman" w:cs="Times New Roman"/>
        </w:rPr>
        <w:t>результатипервинної</w:t>
      </w:r>
      <w:proofErr w:type="spellEnd"/>
      <w:r>
        <w:rPr>
          <w:rFonts w:ascii="Times New Roman" w:eastAsia="Times New Roman" w:hAnsi="Times New Roman" w:cs="Times New Roman"/>
        </w:rPr>
        <w:t xml:space="preserve"> оцінки </w:t>
      </w:r>
      <w:proofErr w:type="spellStart"/>
      <w:r>
        <w:rPr>
          <w:rFonts w:ascii="Times New Roman" w:eastAsia="Times New Roman" w:hAnsi="Times New Roman" w:cs="Times New Roman"/>
        </w:rPr>
        <w:t>спроможностіОГС</w:t>
      </w:r>
      <w:proofErr w:type="spellEnd"/>
      <w:r>
        <w:rPr>
          <w:rFonts w:ascii="Times New Roman" w:eastAsia="Times New Roman" w:hAnsi="Times New Roman" w:cs="Times New Roman"/>
        </w:rPr>
        <w:t>. Визначено пріоритетні напрямки розвитку спроможності ОГС та сфери, які потребують менторської та експертної підтримки. Підготовлено звіти для кожної ОГС.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Розробка короткострокових та довгострокових рекомендацій.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основі результатів первинної оцінки та аналізу ОГС, ментори разом з керівниками ОГС розробляють короткострокові та довгострокові рекомендації. Рекомендації представлені у вигляді документа.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Розробка проекту Плану дій.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Створена робоча група з числа залучених експертів та ментора ОГС розробляє кожної організації проект Плану дій на основі рекомендацій, наданих ментором.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Обговорення та деталізація проекту Плану дій.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 команди презентує проект Плану команді або працівникам ОГС для того, щоб надати можливість обговорити, прокоментувати та доповнити його.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Підписання Плану дій.</w:t>
      </w:r>
    </w:p>
    <w:p w:rsidR="00612FAD" w:rsidRDefault="00061F4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Узгоджений варіант Плану дій підписує керівник ОГС. Твердження в Рекомендаціях та Плані дій повинні відповідати принципам SMART. </w:t>
      </w:r>
    </w:p>
    <w:p w:rsidR="00612FAD" w:rsidRDefault="00612FA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Етап 5. Реалізація планів дій. 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Надання індивідуальних консультацій щодо Плану дій.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 надає індивідуальну допомогу ОГС-партнерам безпосередньо під час візитів (консультації, тренінги, семінари, майстер-класи, воркшопи) та дистанційно за допомогою телефону, електронної пошти, відеоконференцій тощо - документи, поради, роз'яснення. Ментор визначає напрямки за проблематикою, в результаті чого Замовником будуть залучені додаткові експерти за фахом для індивідуальних консультацій ОГС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Розробка інформаційно-методичного електронного посібника.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Команда Замовника разом з експертами та за участі менторів розробляє інформаційно-методичний електронний посібник з рекомендаціями щодо посилення спроможності місцевих організацій громадянського суспільства.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Моніторинг процесу реалізації Плану дій.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Ментори та співробітники Замовника підтримують постійний контакт, щоб інформувати один одного про хід виконання Плану дій, обговорювати та узгоджувати можливі необхідні зміни або коригування Плану дій.</w:t>
      </w:r>
    </w:p>
    <w:p w:rsidR="00612FAD" w:rsidRDefault="00612FA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Етап 6. Підсумкове оцінювання.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 Фінальна оцінка ОГС. </w:t>
      </w:r>
    </w:p>
    <w:p w:rsidR="00612FAD" w:rsidRDefault="00061F4C">
      <w:pPr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Ментори проводять фінальну оцінку спроможності ОГС для моніторингу змін, впроваджених завдяки програмі </w:t>
      </w:r>
      <w:proofErr w:type="spellStart"/>
      <w:r>
        <w:rPr>
          <w:rFonts w:ascii="Times New Roman" w:eastAsia="Times New Roman" w:hAnsi="Times New Roman" w:cs="Times New Roman"/>
        </w:rPr>
        <w:t>менторства</w:t>
      </w:r>
      <w:proofErr w:type="spellEnd"/>
      <w:r>
        <w:rPr>
          <w:rFonts w:ascii="Times New Roman" w:eastAsia="Times New Roman" w:hAnsi="Times New Roman" w:cs="Times New Roman"/>
        </w:rPr>
        <w:t>, та порівняння початкової оцінки з фінальною за тією ж методологією, що і початкову оцінку. Результати фінального оцінювання задокументовані.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Етап 7. Звітність та документація</w:t>
      </w:r>
      <w:r>
        <w:rPr>
          <w:rFonts w:ascii="Times New Roman" w:eastAsia="Times New Roman" w:hAnsi="Times New Roman" w:cs="Times New Roman"/>
        </w:rPr>
        <w:t>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Підготовка внутрішніх звітів - документів, сформульованих та створених в ході процесу менторського супроводу для кращого управління та розвитку діяльності ОГС.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Внутрішні звіти готуються як менторами, так і співробітниками Замовника.</w:t>
      </w:r>
    </w:p>
    <w:p w:rsidR="00612FAD" w:rsidRDefault="00061F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7.2. Надання інформації для підготовки зовнішніх звітів - документів, які готуються для впровадження програми наставництва та для моніторингу реалізації програми наставництва.  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Етап 8. </w:t>
      </w:r>
      <w:proofErr w:type="spellStart"/>
      <w:r>
        <w:rPr>
          <w:rFonts w:ascii="Times New Roman" w:eastAsia="Times New Roman" w:hAnsi="Times New Roman" w:cs="Times New Roman"/>
          <w:b/>
        </w:rPr>
        <w:t>Нетворкінг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Візити до ОГС для обміну знаннями, кращими практиками та досвідом між ОГС. 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Під час щонайменше одного візиту Замовник сприяє обміну знаннями, кращими практиками та досвідом між ОГС. У кожному візиті планується участь 12 представників ОГС, 3 менторів та 1 експерта. Завдяки взаємодії з колегами, менторами та експертом, ОГС зможуть отримати цінну інформацію про ефективні стратегії організаційного розвитку, управління програмами та </w:t>
      </w:r>
      <w:proofErr w:type="spellStart"/>
      <w:r>
        <w:rPr>
          <w:rFonts w:ascii="Times New Roman" w:eastAsia="Times New Roman" w:hAnsi="Times New Roman" w:cs="Times New Roman"/>
        </w:rPr>
        <w:t>адвокаційні</w:t>
      </w:r>
      <w:proofErr w:type="spellEnd"/>
      <w:r>
        <w:rPr>
          <w:rFonts w:ascii="Times New Roman" w:eastAsia="Times New Roman" w:hAnsi="Times New Roman" w:cs="Times New Roman"/>
        </w:rPr>
        <w:t xml:space="preserve"> зусилля. Кожен візит відбуватиметься під керівництвом ментора приймаючої ОГС.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8.2. Спільний захід партнерських ОГС з Дніпропетровської, Харківської, Сумської, Херсонської, Запорізької та Миколаївської областей. 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Обговорення та підбиття підсумків реалізації проекту. Відбувається </w:t>
      </w:r>
      <w:proofErr w:type="spellStart"/>
      <w:r>
        <w:rPr>
          <w:rFonts w:ascii="Times New Roman" w:eastAsia="Times New Roman" w:hAnsi="Times New Roman" w:cs="Times New Roman"/>
        </w:rPr>
        <w:t>нетворкінг</w:t>
      </w:r>
      <w:proofErr w:type="spellEnd"/>
      <w:r>
        <w:rPr>
          <w:rFonts w:ascii="Times New Roman" w:eastAsia="Times New Roman" w:hAnsi="Times New Roman" w:cs="Times New Roman"/>
        </w:rPr>
        <w:t xml:space="preserve"> організацій, обмін досвідом, налагодження контактів тощо. Протягом триденного заходу всі учасники почергово працюватимуть як разом, так і в групах, рефлексуючи попередню роботу та розробляючи плани подальшої взаємодії. Групові тематичні активності проводитимуть ментори.</w:t>
      </w:r>
    </w:p>
    <w:p w:rsidR="00612FAD" w:rsidRDefault="00061F4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8.3. Фінальна онлайн-конференція для представлення результатів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. Проводиться фінальна </w:t>
      </w:r>
      <w:proofErr w:type="spellStart"/>
      <w:r>
        <w:rPr>
          <w:rFonts w:ascii="Times New Roman" w:eastAsia="Times New Roman" w:hAnsi="Times New Roman" w:cs="Times New Roman"/>
        </w:rPr>
        <w:t>онлайнконференція</w:t>
      </w:r>
      <w:proofErr w:type="spellEnd"/>
      <w:r>
        <w:rPr>
          <w:rFonts w:ascii="Times New Roman" w:eastAsia="Times New Roman" w:hAnsi="Times New Roman" w:cs="Times New Roman"/>
        </w:rPr>
        <w:t>, на якій презентуються результати проекту. Під час конференції інші ОГС заохочуються до співпраці з ОГС, які брали участь у проекті.</w:t>
      </w:r>
    </w:p>
    <w:p w:rsidR="00612FAD" w:rsidRDefault="00061F4C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Вищезазначене має привести до отримання наступного результату: </w:t>
      </w:r>
    </w:p>
    <w:p w:rsidR="00612FAD" w:rsidRDefault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надав місцевим ОГС стійкі навички та ресурси для самостійного зміцнення організаційної спроможності та продовження зусиль із залучення громадськості поза межами проекту. </w:t>
      </w:r>
    </w:p>
    <w:p w:rsidR="00612FAD" w:rsidRDefault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посприяв розвитку місцевої відповідальності та лідерства серед ОГС, надаючи їм можливість самостійно просувати ініціативи та відстоювати потреби громади.</w:t>
      </w:r>
    </w:p>
    <w:p w:rsidR="00612FAD" w:rsidRDefault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</w:rPr>
        <w:t>підтримув</w:t>
      </w:r>
      <w:proofErr w:type="spellEnd"/>
      <w:r>
        <w:rPr>
          <w:rFonts w:ascii="Times New Roman" w:eastAsia="Times New Roman" w:hAnsi="Times New Roman" w:cs="Times New Roman"/>
        </w:rPr>
        <w:t xml:space="preserve"> створення стійких </w:t>
      </w:r>
      <w:proofErr w:type="spellStart"/>
      <w:r>
        <w:rPr>
          <w:rFonts w:ascii="Times New Roman" w:eastAsia="Times New Roman" w:hAnsi="Times New Roman" w:cs="Times New Roman"/>
        </w:rPr>
        <w:t>партнерств</w:t>
      </w:r>
      <w:proofErr w:type="spellEnd"/>
      <w:r>
        <w:rPr>
          <w:rFonts w:ascii="Times New Roman" w:eastAsia="Times New Roman" w:hAnsi="Times New Roman" w:cs="Times New Roman"/>
        </w:rPr>
        <w:t xml:space="preserve"> та мереж серед ОГС та із зовнішніми зацікавленими сторонами, сприяючи постійній співпраці, спільному використанню ресурсів та колективним діям.</w:t>
      </w:r>
    </w:p>
    <w:p w:rsidR="00612FAD" w:rsidRDefault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посилив спроможності ОГС мобілізувати ресурси на місцевому рівні та отримати доступ до можливостей фінансування, забезпечуючи таким чином фінансову стійкість та безперервність їхньої діяльності після завершення проекту.</w:t>
      </w:r>
    </w:p>
    <w:p w:rsidR="00612FAD" w:rsidRDefault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Щонайменше 18 організацій громадянського суспільства, що працюють у Сумській, Харківській та Дніпропетровській областях України, значно покращили свою організаційну спроможність у сфері інституційного розвитку та тематичних напрямках своєї діяльності.</w:t>
      </w:r>
    </w:p>
    <w:p w:rsidR="00612FAD" w:rsidRDefault="00061F4C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Розширені можливості мережевої взаємодії дозволяють щонайменше 15 ОГС, що працюють у Сумській, Харківській та Дніпропетровській областях України, налагоджувати зв'язки з іншими НУО, державними установами та міжнародними організаціями з метою встановлення та розвитку ефективних </w:t>
      </w:r>
      <w:proofErr w:type="spellStart"/>
      <w:r>
        <w:rPr>
          <w:rFonts w:ascii="Times New Roman" w:eastAsia="Times New Roman" w:hAnsi="Times New Roman" w:cs="Times New Roman"/>
        </w:rPr>
        <w:t>партнерств</w:t>
      </w:r>
      <w:proofErr w:type="spellEnd"/>
      <w:r>
        <w:rPr>
          <w:rFonts w:ascii="Times New Roman" w:eastAsia="Times New Roman" w:hAnsi="Times New Roman" w:cs="Times New Roman"/>
        </w:rPr>
        <w:t xml:space="preserve"> та співпраці.</w:t>
      </w:r>
    </w:p>
    <w:p w:rsidR="00612FAD" w:rsidRDefault="00612FA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12FAD" w:rsidRDefault="00612FA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12FAD" w:rsidRDefault="00061F4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З оглядом проекту ознайомлені,</w:t>
      </w:r>
    </w:p>
    <w:p w:rsidR="00612FAD" w:rsidRDefault="00061F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</w:t>
      </w:r>
    </w:p>
    <w:tbl>
      <w:tblPr>
        <w:tblStyle w:val="af9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245"/>
        <w:gridCol w:w="555"/>
        <w:gridCol w:w="555"/>
        <w:gridCol w:w="555"/>
      </w:tblGrid>
      <w:tr w:rsidR="00612FAD"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ПІБ Учасника: ______________________________________________________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2FAD">
        <w:tc>
          <w:tcPr>
            <w:tcW w:w="9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eastAsia="Book Antiqua" w:hAnsi="Book Antiqua" w:cs="Book Antiqua"/>
              </w:rPr>
              <w:t>ПІБ Виконавця(-</w:t>
            </w:r>
            <w:proofErr w:type="spellStart"/>
            <w:r>
              <w:rPr>
                <w:rFonts w:ascii="Book Antiqua" w:eastAsia="Book Antiqua" w:hAnsi="Book Antiqua" w:cs="Book Antiqua"/>
              </w:rPr>
              <w:t>ів</w:t>
            </w:r>
            <w:proofErr w:type="spellEnd"/>
            <w:r>
              <w:rPr>
                <w:rFonts w:ascii="Book Antiqua" w:eastAsia="Book Antiqua" w:hAnsi="Book Antiqua" w:cs="Book Antiqua"/>
              </w:rPr>
              <w:t>)*: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</w:t>
            </w:r>
          </w:p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*у разі подання учасником пропозиції за декількома виконавцями, зазначаються усі</w:t>
            </w:r>
          </w:p>
        </w:tc>
      </w:tr>
      <w:tr w:rsidR="00612FAD"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ПІДПИС Учасника: 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2FAD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Електронна пошта та мобільний телефон</w:t>
            </w:r>
          </w:p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учасника______________________________________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612FAD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ПЕЧАТКА (за наявності):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2FAD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ДАТА: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12FAD" w:rsidRDefault="00061F4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12FAD" w:rsidRDefault="00612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12FAD" w:rsidRDefault="00612F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12FAD" w:rsidRDefault="0006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612FAD" w:rsidRDefault="00612FAD"/>
    <w:sectPr w:rsidR="00612FAD">
      <w:headerReference w:type="default" r:id="rId12"/>
      <w:pgSz w:w="11906" w:h="16838"/>
      <w:pgMar w:top="851" w:right="851" w:bottom="851" w:left="1418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A6" w:rsidRDefault="003067A6">
      <w:pPr>
        <w:spacing w:after="0" w:line="240" w:lineRule="auto"/>
      </w:pPr>
      <w:r>
        <w:separator/>
      </w:r>
    </w:p>
  </w:endnote>
  <w:endnote w:type="continuationSeparator" w:id="0">
    <w:p w:rsidR="003067A6" w:rsidRDefault="0030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A6" w:rsidRDefault="003067A6">
      <w:pPr>
        <w:spacing w:after="0" w:line="240" w:lineRule="auto"/>
      </w:pPr>
      <w:r>
        <w:separator/>
      </w:r>
    </w:p>
  </w:footnote>
  <w:footnote w:type="continuationSeparator" w:id="0">
    <w:p w:rsidR="003067A6" w:rsidRDefault="0030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FAD" w:rsidRDefault="00612F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A61C9"/>
    <w:multiLevelType w:val="multilevel"/>
    <w:tmpl w:val="4B044A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C851865"/>
    <w:multiLevelType w:val="multilevel"/>
    <w:tmpl w:val="298EB6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AD"/>
    <w:rsid w:val="00061F4C"/>
    <w:rsid w:val="003067A6"/>
    <w:rsid w:val="00612FAD"/>
    <w:rsid w:val="006C2B8A"/>
    <w:rsid w:val="008E4ACD"/>
    <w:rsid w:val="009455C8"/>
    <w:rsid w:val="00CA3363"/>
    <w:rsid w:val="00D9164C"/>
    <w:rsid w:val="00F2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1B19"/>
  <w15:docId w15:val="{528EA383-5859-419F-B8E9-5791AAD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680"/>
  </w:style>
  <w:style w:type="paragraph" w:styleId="1">
    <w:name w:val="heading 1"/>
    <w:basedOn w:val="a"/>
    <w:next w:val="a"/>
    <w:link w:val="10"/>
    <w:uiPriority w:val="9"/>
    <w:qFormat/>
    <w:rsid w:val="00736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16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2680"/>
  </w:style>
  <w:style w:type="paragraph" w:styleId="a6">
    <w:name w:val="footer"/>
    <w:basedOn w:val="a"/>
    <w:link w:val="a7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2680"/>
  </w:style>
  <w:style w:type="table" w:styleId="a8">
    <w:name w:val="Table Grid"/>
    <w:basedOn w:val="a1"/>
    <w:uiPriority w:val="39"/>
    <w:rsid w:val="00C1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1 Буллет,AC List 01,заголовок 1.1,название табл/рис,Список уровня 2,List Paragraph (numbered (a)),List_Paragraph,Multilevel para_II,List Paragraph-ExecSummary,Akapit z listą BS,Bullets,List Paragraph 1,References,IBL List Paragraph"/>
    <w:basedOn w:val="a"/>
    <w:link w:val="aa"/>
    <w:uiPriority w:val="34"/>
    <w:qFormat/>
    <w:rsid w:val="00CD407A"/>
    <w:pPr>
      <w:ind w:left="720"/>
      <w:contextualSpacing/>
    </w:pPr>
  </w:style>
  <w:style w:type="character" w:customStyle="1" w:styleId="aa">
    <w:name w:val="Абзац списку Знак"/>
    <w:aliases w:val="1 Буллет Знак,AC List 01 Знак,заголовок 1.1 Знак,название табл/рис Знак,Список уровня 2 Знак,List Paragraph (numbered (a)) Знак,List_Paragraph Знак,Multilevel para_II Знак,List Paragraph-ExecSummary Знак,Akapit z listą BS Знак"/>
    <w:link w:val="a9"/>
    <w:uiPriority w:val="34"/>
    <w:rsid w:val="00CD407A"/>
  </w:style>
  <w:style w:type="paragraph" w:styleId="ab">
    <w:name w:val="Normal (Web)"/>
    <w:basedOn w:val="a"/>
    <w:uiPriority w:val="99"/>
    <w:unhideWhenUsed/>
    <w:rsid w:val="00A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66C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c">
    <w:name w:val="Strong"/>
    <w:basedOn w:val="a0"/>
    <w:uiPriority w:val="22"/>
    <w:qFormat/>
    <w:rsid w:val="00D166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F2E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/sJP0ePIL+fxV6KxiGEtv2rgA==">CgMxLjA4AGolChRzdWdnZXN0LmlqOWV2bGNieGVtahINT2xla3NpaSBMeXNrYWolChRzdWdnZXN0LjR1NjNkaWZpdDZwORINT2xla3NpaSBMeXNrYWolChRzdWdnZXN0Lmx4c25jenF2Y2t2MBINT2xla3NpaSBMeXNrYWolChRzdWdnZXN0LnczczdkODgzbG5oNhINT2xla3NpaSBMeXNrYWolChRzdWdnZXN0LjFocG5wOHoydzNnNxINT2xla3NpaSBMeXNrYWolChRzdWdnZXN0Lm13MTl5bTI1dmttaxINT2xla3NpaSBMeXNrYWolChRzdWdnZXN0LnplcXRucXUxYzF5YxINT2xla3NpaSBMeXNrYWolChRzdWdnZXN0LjZvejZyN21tbGQyehINT2xla3NpaSBMeXNrYXIhMTRXRmowNVhoRGdPdkNPN3hNMEsxaTVMQmo1c09PRU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6714</Words>
  <Characters>3827</Characters>
  <Application>Microsoft Office Word</Application>
  <DocSecurity>0</DocSecurity>
  <Lines>31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2024-08-05T16:43:00Z</dcterms:created>
  <dcterms:modified xsi:type="dcterms:W3CDTF">2025-01-30T08:57:00Z</dcterms:modified>
</cp:coreProperties>
</file>