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1723D4">
      <w:pPr>
        <w:pStyle w:val="P68B1DB1-a1"/>
        <w:spacing w:after="0" w:line="216" w:lineRule="auto"/>
        <w:ind w:left="1276" w:right="2002" w:hanging="425"/>
        <w:jc w:val="left"/>
      </w:pPr>
      <w:bookmarkStart w:id="0" w:name="_GoBack"/>
      <w:r>
        <w:rPr>
          <w:noProof/>
        </w:rPr>
        <w:drawing>
          <wp:inline distT="0" distB="0" distL="0" distR="0">
            <wp:extent cx="6019800" cy="1402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Благодійної 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на роботу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до продажу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</w:t>
      </w:r>
      <w:r w:rsidR="00E14641">
        <w:rPr>
          <w:b/>
          <w:lang w:val="ru-RU"/>
        </w:rPr>
        <w:t>Р</w:t>
      </w:r>
      <w:r w:rsidRPr="00ED692F">
        <w:rPr>
          <w:b/>
          <w:lang w:val="ru-RU"/>
        </w:rPr>
        <w:t xml:space="preserve">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83" w:rsidRDefault="00F90B83">
      <w:pPr>
        <w:spacing w:after="0" w:line="240" w:lineRule="auto"/>
      </w:pPr>
      <w:r>
        <w:separator/>
      </w:r>
    </w:p>
  </w:endnote>
  <w:endnote w:type="continuationSeparator" w:id="0">
    <w:p w:rsidR="00F90B83" w:rsidRDefault="00F9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r w:rsidR="00F90B83">
      <w:fldChar w:fldCharType="begin"/>
    </w:r>
    <w:r w:rsidR="00F90B83">
      <w:instrText xml:space="preserve"> NUMPAGES   \* MERGEFORMAT </w:instrText>
    </w:r>
    <w:r w:rsidR="00F90B83">
      <w:fldChar w:fldCharType="separate"/>
    </w:r>
    <w:r>
      <w:t>_</w:t>
    </w:r>
    <w:r w:rsidR="00F90B83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83" w:rsidRDefault="00F90B83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F90B83" w:rsidRDefault="00F90B83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723D4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5E0E75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1588B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20009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22043"/>
    <w:rsid w:val="00D721C2"/>
    <w:rsid w:val="00E14641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0B83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admin</cp:lastModifiedBy>
  <cp:revision>4</cp:revision>
  <dcterms:created xsi:type="dcterms:W3CDTF">2025-02-24T14:34:00Z</dcterms:created>
  <dcterms:modified xsi:type="dcterms:W3CDTF">2025-02-27T08:33:00Z</dcterms:modified>
</cp:coreProperties>
</file>