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75AF" w14:textId="77777777" w:rsidR="007263DD" w:rsidRDefault="007263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62668E0" w14:textId="77777777" w:rsidR="007263DD" w:rsidRDefault="00441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 wp14:anchorId="24D55F82" wp14:editId="28BDC6AF">
            <wp:extent cx="1199833" cy="750974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33" cy="750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 wp14:anchorId="137BF3DB" wp14:editId="1546C897">
            <wp:extent cx="1999933" cy="690242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933" cy="690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578A0CE4" wp14:editId="661D5DF8">
            <wp:extent cx="1314133" cy="417185"/>
            <wp:effectExtent l="0" t="0" r="0" b="0"/>
            <wp:docPr id="18" name="image2.png" descr="0-02-05-00634a23782b90eafdc0c698b52933c9f6704d7e51330edccbac53bb4dea9675_182bc7691abf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0-02-05-00634a23782b90eafdc0c698b52933c9f6704d7e51330edccbac53bb4dea9675_182bc7691abf533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1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FAAD674" wp14:editId="27F1CE13">
            <wp:simplePos x="0" y="0"/>
            <wp:positionH relativeFrom="column">
              <wp:posOffset>3430422</wp:posOffset>
            </wp:positionH>
            <wp:positionV relativeFrom="paragraph">
              <wp:posOffset>257175</wp:posOffset>
            </wp:positionV>
            <wp:extent cx="1255877" cy="464503"/>
            <wp:effectExtent l="0" t="0" r="0" b="0"/>
            <wp:wrapSquare wrapText="bothSides" distT="19050" distB="19050" distL="19050" distR="1905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877" cy="464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926352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903B4" w14:textId="77777777" w:rsidR="007263DD" w:rsidRDefault="00726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p w14:paraId="180FCBBD" w14:textId="6B834202" w:rsidR="007263DD" w:rsidRDefault="004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Додаток 1.1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Огляд проекту </w:t>
      </w:r>
    </w:p>
    <w:p w14:paraId="25882A9C" w14:textId="36F3BC19" w:rsidR="00984265" w:rsidRDefault="0098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RFP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01</w:t>
      </w:r>
      <w:r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5</w:t>
      </w:r>
      <w:r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</w:p>
    <w:p w14:paraId="3107BFBE" w14:textId="77777777" w:rsidR="007263DD" w:rsidRDefault="004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тендеру Благодійної організації "Благодійний фонд "РОКАДА"</w:t>
      </w:r>
    </w:p>
    <w:p w14:paraId="51C8643A" w14:textId="2E1C98D1" w:rsidR="007263DD" w:rsidRDefault="0044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для УКЛАДЕННЯ РАМКОВОГО ДОГОВОРУ(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 НА ПОСЛУГИ</w:t>
      </w: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МЕНТОРСЬКОГО СУПРОВОДУ КОМАНД ОРГАНІЗАЦІЙ ГРОМА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ДЯНСЬКОГО СУСПІЛЬСТВА В ДНІПРОПЕТРОВСЬКІЙ ОБЛАС</w:t>
      </w:r>
      <w:r w:rsidR="0081213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ТІ</w:t>
      </w: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14:paraId="0FB9DEB0" w14:textId="77777777" w:rsidR="007263DD" w:rsidRDefault="007263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red"/>
        </w:rPr>
      </w:pPr>
    </w:p>
    <w:p w14:paraId="68A0C2B4" w14:textId="77777777" w:rsidR="007263DD" w:rsidRDefault="00441DB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“Посилення через Єдність: Підтримка зміцнення потенціалу місцевих ГО в Сумській, Харківській, Дніпропетровській областях” здійснюється в межах </w:t>
      </w:r>
      <w:proofErr w:type="spellStart"/>
      <w:r>
        <w:rPr>
          <w:rFonts w:ascii="Times New Roman" w:eastAsia="Times New Roman" w:hAnsi="Times New Roman" w:cs="Times New Roman"/>
        </w:rPr>
        <w:t>мультидонорського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«Посилення потенціалу спільнот на півдні та сході України через місцеві ініціативи (EMPOWER)», що фінансується Федеральним міністерством економічного співробітництва та розвитку (BMZ)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(GIZ) </w:t>
      </w:r>
      <w:proofErr w:type="spellStart"/>
      <w:r>
        <w:rPr>
          <w:rFonts w:ascii="Times New Roman" w:eastAsia="Times New Roman" w:hAnsi="Times New Roman" w:cs="Times New Roman"/>
        </w:rPr>
        <w:t>ГмбХ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A5A5924" w14:textId="77777777" w:rsidR="007263DD" w:rsidRDefault="007263D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771AAD8A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Мета проекту:</w:t>
      </w:r>
      <w:r>
        <w:rPr>
          <w:rFonts w:ascii="Times New Roman" w:eastAsia="Times New Roman" w:hAnsi="Times New Roman" w:cs="Times New Roman"/>
          <w:color w:val="000000"/>
        </w:rPr>
        <w:t xml:space="preserve"> Посилити організаційну спроможність місцевих організацій громадянського суспільства (далі – ОГС), що працюють у Сумській, Харківській та Дніпропетровській областях України, шляхом визначення проблематики розвитку певних ОГС та відповідно до цього - проведення тренінгів, консультацій, менторської підтримки, передачі знань, розвитку навичок та створення мережі для горизонтальної комунікації та співпраці з місцевими органами влади. </w:t>
      </w:r>
    </w:p>
    <w:p w14:paraId="558083E3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Основні принципи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3E5085F0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Розбудова потенціалу, організаційний розвиток та посилення організацій громадянського суспільства під час реалізації проектів відбувається через наставництво, навчальні заходи, розвиток навичок, налагодження контактів та передачу знань. Основні компоненти методології наставництва включають:</w:t>
      </w:r>
    </w:p>
    <w:p w14:paraId="322F264C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Сприяння навчанню за принципом «рівний-рівному». Наставництво заохочує обмін знаннями між ОГС та їхніми партнерами.</w:t>
      </w:r>
    </w:p>
    <w:p w14:paraId="55DD10D8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Підхід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 xml:space="preserve"> фокусується на розвитку та використанні існуючих сильних сторін ОГС. Замість того, щоб просто виявляти прогалини, він спрямований на посилення та використання поточних можливостей організації. Особливу роль у розвитку сильних сторін ОГС відіграють експерти. </w:t>
      </w:r>
    </w:p>
    <w:p w14:paraId="1CDC0324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Сприяння розвитку </w:t>
      </w:r>
      <w:proofErr w:type="spellStart"/>
      <w:r>
        <w:rPr>
          <w:rFonts w:ascii="Times New Roman" w:eastAsia="Times New Roman" w:hAnsi="Times New Roman" w:cs="Times New Roman"/>
        </w:rPr>
        <w:t>зв'язків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 Цей підхід сприяє співпраці між місцевими та національними суб'єктами. Розвиваючи партнерства, ОГС можуть доповнювати зусилля одна одної та створювати більш згуртований та впливовий сектор громадянського суспільства.</w:t>
      </w:r>
    </w:p>
    <w:p w14:paraId="3F71394B" w14:textId="77777777" w:rsidR="007263DD" w:rsidRDefault="00441DBC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Досягнення мети </w:t>
      </w:r>
      <w:r>
        <w:rPr>
          <w:rFonts w:ascii="Times New Roman" w:eastAsia="Times New Roman" w:hAnsi="Times New Roman" w:cs="Times New Roman"/>
          <w:b/>
        </w:rPr>
        <w:t>проекту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забезпечується за рахунок реалізації наступних етапів:</w:t>
      </w:r>
    </w:p>
    <w:p w14:paraId="75AFDB71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1. Розробка методології оцінки організаційної спроможності діяльності ОГС.</w:t>
      </w:r>
    </w:p>
    <w:p w14:paraId="76827F26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розробку відповідає залучена команда експертів з 3 осіб, які мають експертизу у одній із сфер:</w:t>
      </w:r>
    </w:p>
    <w:p w14:paraId="0754D3D0" w14:textId="77777777" w:rsidR="007263DD" w:rsidRDefault="00441DB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Стратегічне та операційне управління в неприбуткових організаціях.</w:t>
      </w:r>
    </w:p>
    <w:p w14:paraId="5C4E818B" w14:textId="77777777" w:rsidR="007263DD" w:rsidRDefault="00441DB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Соціальна допомога</w:t>
      </w:r>
      <w:r>
        <w:rPr>
          <w:rFonts w:ascii="Times New Roman" w:eastAsia="Times New Roman" w:hAnsi="Times New Roman" w:cs="Times New Roman"/>
          <w:highlight w:val="white"/>
        </w:rPr>
        <w:t xml:space="preserve"> вразливим</w:t>
      </w:r>
      <w:r>
        <w:rPr>
          <w:rFonts w:ascii="Times New Roman" w:eastAsia="Times New Roman" w:hAnsi="Times New Roman" w:cs="Times New Roman"/>
        </w:rPr>
        <w:t xml:space="preserve"> верствам населення.</w:t>
      </w:r>
    </w:p>
    <w:p w14:paraId="4ACC8710" w14:textId="77777777" w:rsidR="007263DD" w:rsidRDefault="00441DB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Фандрайзинг та управління проектами.</w:t>
      </w:r>
    </w:p>
    <w:p w14:paraId="23665B4A" w14:textId="77777777" w:rsidR="007263DD" w:rsidRDefault="007263DD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</w:rPr>
      </w:pPr>
    </w:p>
    <w:p w14:paraId="28C8DDA2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Розроблена методологія оцінки діяльності ОГС має </w:t>
      </w:r>
      <w:proofErr w:type="spellStart"/>
      <w:r>
        <w:rPr>
          <w:rFonts w:ascii="Times New Roman" w:eastAsia="Times New Roman" w:hAnsi="Times New Roman" w:cs="Times New Roman"/>
        </w:rPr>
        <w:t>грунтуватися</w:t>
      </w:r>
      <w:proofErr w:type="spellEnd"/>
      <w:r>
        <w:rPr>
          <w:rFonts w:ascii="Times New Roman" w:eastAsia="Times New Roman" w:hAnsi="Times New Roman" w:cs="Times New Roman"/>
        </w:rPr>
        <w:t xml:space="preserve"> основі визначеного переліку компонентів та сфер потенціалу обраних ОГС:</w:t>
      </w:r>
    </w:p>
    <w:p w14:paraId="3CEB48B9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Місія та стратегічне планування</w:t>
      </w:r>
    </w:p>
    <w:p w14:paraId="2951B5E1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правління та стилі управління </w:t>
      </w:r>
    </w:p>
    <w:p w14:paraId="3EBB35F5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Спроможність адаптуватись</w:t>
      </w:r>
    </w:p>
    <w:p w14:paraId="2F11BAD7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Партнерство та співпраця</w:t>
      </w:r>
    </w:p>
    <w:p w14:paraId="5639A4D8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Роль в секторі </w:t>
      </w:r>
    </w:p>
    <w:p w14:paraId="7C75CB08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послуг</w:t>
      </w:r>
    </w:p>
    <w:p w14:paraId="4DFAE692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Фінансова життєздатність та мобілізація ресурсів</w:t>
      </w:r>
    </w:p>
    <w:p w14:paraId="2D6C41D6" w14:textId="77777777" w:rsidR="007263DD" w:rsidRDefault="00441DB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Вплив та </w:t>
      </w:r>
      <w:proofErr w:type="spellStart"/>
      <w:r>
        <w:rPr>
          <w:rFonts w:ascii="Times New Roman" w:eastAsia="Times New Roman" w:hAnsi="Times New Roman" w:cs="Times New Roman"/>
        </w:rPr>
        <w:t>візабіліті</w:t>
      </w:r>
      <w:proofErr w:type="spellEnd"/>
    </w:p>
    <w:p w14:paraId="2D267D91" w14:textId="77777777" w:rsidR="007263DD" w:rsidRDefault="00441DBC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Безпека ОГС</w:t>
      </w:r>
    </w:p>
    <w:p w14:paraId="38AC00D0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2. Проведення навчання для менторів.</w:t>
      </w:r>
    </w:p>
    <w:p w14:paraId="39A7FCEF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Залучена команда експертів з 3 осіб проводить навчання для команди менторів по проведенню методики оцінювання організаційної спроможності діяльності ОГС відповідно до розробленої та затвердженої методології оцінки.</w:t>
      </w:r>
    </w:p>
    <w:p w14:paraId="7C9F40B3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Початкова оцінка ОГС.</w:t>
      </w:r>
    </w:p>
    <w:p w14:paraId="0482181B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залучених менторів проводить оцінку організаційної спроможності діяльності ОГС відповідно до наступних стадій:</w:t>
      </w:r>
    </w:p>
    <w:p w14:paraId="0DE367B4" w14:textId="77777777" w:rsidR="007263DD" w:rsidRDefault="00441DB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Технічна оцінка:</w:t>
      </w:r>
    </w:p>
    <w:p w14:paraId="680E1817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статутів, стратегій, політик та інших ключових документів кожної організації у відповідності до затвердженого переліку (чек-</w:t>
      </w:r>
      <w:proofErr w:type="spellStart"/>
      <w:r>
        <w:rPr>
          <w:rFonts w:ascii="Times New Roman" w:eastAsia="Times New Roman" w:hAnsi="Times New Roman" w:cs="Times New Roman"/>
        </w:rPr>
        <w:t>лісту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7FBF10EE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Формування профілю кожної організації на основі зібраних документів.</w:t>
      </w:r>
    </w:p>
    <w:p w14:paraId="5FF96DD9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Профіль кожної організації, що включає аналіз наявних документів та виявлені сильні та слабкі сторони.</w:t>
      </w:r>
    </w:p>
    <w:p w14:paraId="7EF8138A" w14:textId="77777777" w:rsidR="007263DD" w:rsidRDefault="00441DBC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Індивідуальна оцінка:</w:t>
      </w:r>
    </w:p>
    <w:p w14:paraId="0E12A30D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та розповсюдження</w:t>
      </w:r>
      <w:r>
        <w:rPr>
          <w:rFonts w:ascii="Times New Roman" w:eastAsia="Times New Roman" w:hAnsi="Times New Roman" w:cs="Times New Roman"/>
          <w:highlight w:val="white"/>
        </w:rPr>
        <w:t xml:space="preserve"> опитувальника/анк</w:t>
      </w:r>
      <w:r>
        <w:rPr>
          <w:rFonts w:ascii="Times New Roman" w:eastAsia="Times New Roman" w:hAnsi="Times New Roman" w:cs="Times New Roman"/>
        </w:rPr>
        <w:t>ет серед команди організації.</w:t>
      </w:r>
    </w:p>
    <w:p w14:paraId="7C05DE65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відповідей для виявлення ключових аспектів діяльності та поточних викликів.</w:t>
      </w:r>
    </w:p>
    <w:p w14:paraId="0831BD22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 стадії: Загальний звіт по кожній організації, що включає оцінку внутрішніх </w:t>
      </w:r>
      <w:proofErr w:type="spellStart"/>
      <w:r>
        <w:rPr>
          <w:rFonts w:ascii="Times New Roman" w:eastAsia="Times New Roman" w:hAnsi="Times New Roman" w:cs="Times New Roman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</w:rPr>
        <w:t xml:space="preserve"> та виявлені потреби ОГС на основі результатів </w:t>
      </w:r>
      <w:proofErr w:type="spellStart"/>
      <w:r>
        <w:rPr>
          <w:rFonts w:ascii="Times New Roman" w:eastAsia="Times New Roman" w:hAnsi="Times New Roman" w:cs="Times New Roman"/>
        </w:rPr>
        <w:t>опитника</w:t>
      </w:r>
      <w:proofErr w:type="spellEnd"/>
      <w:r>
        <w:rPr>
          <w:rFonts w:ascii="Times New Roman" w:eastAsia="Times New Roman" w:hAnsi="Times New Roman" w:cs="Times New Roman"/>
        </w:rPr>
        <w:t xml:space="preserve"> команди.</w:t>
      </w:r>
    </w:p>
    <w:p w14:paraId="77317F50" w14:textId="77777777" w:rsidR="007263DD" w:rsidRDefault="00441DBC">
      <w:pPr>
        <w:numPr>
          <w:ilvl w:val="0"/>
          <w:numId w:val="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Експертна оцінка:</w:t>
      </w:r>
    </w:p>
    <w:p w14:paraId="40EE2895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Візит ментора до місця діяльності організації. </w:t>
      </w:r>
    </w:p>
    <w:p w14:paraId="0B97B42C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Спілкування з керівництвом та командою організації.</w:t>
      </w:r>
    </w:p>
    <w:p w14:paraId="55E7BFDE" w14:textId="77777777" w:rsidR="007263DD" w:rsidRDefault="00441DB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Проведення фокус-групи з використанням чек-листа питань по розробленій методології.</w:t>
      </w:r>
    </w:p>
    <w:p w14:paraId="36B89738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Звіт експерта, що включає спостереження, висновки та рекомендації на основі живого спілкування та оцінки діяльності організації.</w:t>
      </w:r>
    </w:p>
    <w:p w14:paraId="628E0493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Етап 4. Розробка рекомендацій та планів дій.</w:t>
      </w:r>
    </w:p>
    <w:p w14:paraId="7D52754F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Аналіз менторами даних та інформації, зібраних під час первинної оцінки. </w:t>
      </w:r>
    </w:p>
    <w:p w14:paraId="5F6B45D8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Ментори аналізують дані первинної оцінки потреб ОГС. Визначено пріоритетні напрямки розвитку спроможності ОГС та сфери, які потребують менторської та експертної підтримки. Підготовлено звіти для кожної ОГС.</w:t>
      </w:r>
    </w:p>
    <w:p w14:paraId="316349E9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Розробка короткострокових та довгострокових рекомендацій.</w:t>
      </w:r>
    </w:p>
    <w:p w14:paraId="49172C56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основі результатів первинної оцінки та аналізу ОГС, ментори разом з керівниками ОГС розробляють короткострокові та довгострокові рекомендації. Рекомендації представлені у вигляді документа.</w:t>
      </w:r>
    </w:p>
    <w:p w14:paraId="190CBE07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Розробка проекту Плану дій. </w:t>
      </w:r>
    </w:p>
    <w:p w14:paraId="18E2E3C5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Створена робоча група з числа залучених експертів та ментора ОГС розробляє кожної організації проект Плану дій на основі рекомендацій, наданих ментором.</w:t>
      </w:r>
    </w:p>
    <w:p w14:paraId="5348AC25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Обговорення та деталізація проекту Плану дій. </w:t>
      </w:r>
    </w:p>
    <w:p w14:paraId="2600EE65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команди презентує проект Плану команді або працівникам ОГС для того, щоб надати можливість обговорити, прокоментувати та доповнити його.</w:t>
      </w:r>
    </w:p>
    <w:p w14:paraId="0CC66233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4.5. Підписання Плану дій. </w:t>
      </w:r>
    </w:p>
    <w:p w14:paraId="31B1F946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Узгоджений варіант Плану дій підписує керівник ОГС. Твердження в Рекомендаціях та Плані дій повинні відповідати принципам SMART. </w:t>
      </w:r>
    </w:p>
    <w:p w14:paraId="13B4B57E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5. Реалізація планів дій. </w:t>
      </w:r>
    </w:p>
    <w:p w14:paraId="16A36C0E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Надання індивідуальних консультацій щодо Плану дій. </w:t>
      </w:r>
    </w:p>
    <w:p w14:paraId="1675214A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надає індивідуальну допомогу ОГС-партнерам безпосередньо під час візитів (консультації, тренінги, семінари, майстер-класи, воркшопи) та дистанційно за допомогою телефону, електронної пошти, відеоконференцій тощо - документи, поради, роз'яснення. Ментор визначає напрямки за проблематикою, в результаті чого Замовником будуть залучені додаткові експерти за фахом для індивідуальних консультацій ОГС</w:t>
      </w:r>
    </w:p>
    <w:p w14:paraId="268AE34F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Розробка інформаційно-методичного електронного посібника. </w:t>
      </w:r>
    </w:p>
    <w:p w14:paraId="393F15DB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Замовника разом з експертами та за участі менторів розробляє інформаційно-методичний електронний посібник з рекомендаціями щодо посилення спроможності місцевих організацій громадянського суспільства.</w:t>
      </w:r>
    </w:p>
    <w:p w14:paraId="44364953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Моніторинг процесу реалізації Плану дій. </w:t>
      </w:r>
    </w:p>
    <w:p w14:paraId="71A7DC07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Ментори та співробітники Замовника підтримують постійний контакт, щоб інформувати один одного про хід виконання Плану дій, обговорювати та узгоджувати можливі необхідні зміни або коригування Плану дій.</w:t>
      </w:r>
    </w:p>
    <w:p w14:paraId="4FB0E171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6. Підсумкове оцінювання.</w:t>
      </w:r>
    </w:p>
    <w:p w14:paraId="4FC59147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Фінальна оцінка ОГС. </w:t>
      </w:r>
    </w:p>
    <w:p w14:paraId="696339D7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Ментори проводять фінальну оцінку ОГС для моніторингу змін, впроваджених завдяки програмі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>, та порівняння початкової оцінки з фінальною за тією ж методологією, що і початкову оцінку. Результати фінального оцінювання задокументовані.</w:t>
      </w:r>
    </w:p>
    <w:p w14:paraId="1EAEE046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7. Звітність та документація</w:t>
      </w:r>
      <w:r>
        <w:rPr>
          <w:rFonts w:ascii="Times New Roman" w:eastAsia="Times New Roman" w:hAnsi="Times New Roman" w:cs="Times New Roman"/>
        </w:rPr>
        <w:t>.</w:t>
      </w:r>
    </w:p>
    <w:p w14:paraId="35DE97E0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7.1. Підготовка внутрішніх звітів - документів, сформульованих та створених в ході процесу менторського супроводу для кращого управління та розвитку діяльності ОГС. </w:t>
      </w:r>
    </w:p>
    <w:p w14:paraId="377539ED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Внутрішні звіти готуються як менторами, так і співробітниками Замовника.</w:t>
      </w:r>
    </w:p>
    <w:p w14:paraId="273C12DD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Надання інформації для підготовки зовнішніх звітів - документів, які готуються для впровадження програми наставництва та для моніторингу реалізації програми наставництва.  </w:t>
      </w:r>
    </w:p>
    <w:p w14:paraId="46AC72FD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8. </w:t>
      </w:r>
      <w:proofErr w:type="spellStart"/>
      <w:r>
        <w:rPr>
          <w:rFonts w:ascii="Times New Roman" w:eastAsia="Times New Roman" w:hAnsi="Times New Roman" w:cs="Times New Roman"/>
          <w:b/>
        </w:rPr>
        <w:t>Нетворкінг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60C4316B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Візити до ОГС для обміну знаннями, кращими практиками та досвідом між ОГС. </w:t>
      </w:r>
    </w:p>
    <w:p w14:paraId="61A8CA15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Під час щонайменше одного візиту Замовник сприяє обміну знаннями, кращими практиками та досвідом між ОГС. У кожному візиті планується участь 12 представників ОГС, 3 менторів та 1 експерта. Завдяки взаємодії з колегами, менторами та експертом, ОГС зможуть отримати цінну інформацію про ефективні стратегії організаційного розвитку, управління програмами та </w:t>
      </w:r>
      <w:proofErr w:type="spellStart"/>
      <w:r>
        <w:rPr>
          <w:rFonts w:ascii="Times New Roman" w:eastAsia="Times New Roman" w:hAnsi="Times New Roman" w:cs="Times New Roman"/>
        </w:rPr>
        <w:t>адвокаційні</w:t>
      </w:r>
      <w:proofErr w:type="spellEnd"/>
      <w:r>
        <w:rPr>
          <w:rFonts w:ascii="Times New Roman" w:eastAsia="Times New Roman" w:hAnsi="Times New Roman" w:cs="Times New Roman"/>
        </w:rPr>
        <w:t xml:space="preserve"> зусилля. Кожен візит відбуватиметься під керівництвом ментора приймаючої ОГС.</w:t>
      </w:r>
    </w:p>
    <w:p w14:paraId="235D7D45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Спільний захід партнерських ОГС з Дніпропетровської, Харківської, Сумської, Херсонської, Запорізької та Миколаївської областей. </w:t>
      </w:r>
    </w:p>
    <w:p w14:paraId="549B7A49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Обговорення та підбиття підсумків реалізації проекту. Відбувається </w:t>
      </w:r>
      <w:proofErr w:type="spellStart"/>
      <w:r>
        <w:rPr>
          <w:rFonts w:ascii="Times New Roman" w:eastAsia="Times New Roman" w:hAnsi="Times New Roman" w:cs="Times New Roman"/>
        </w:rPr>
        <w:t>нетворкінг</w:t>
      </w:r>
      <w:proofErr w:type="spellEnd"/>
      <w:r>
        <w:rPr>
          <w:rFonts w:ascii="Times New Roman" w:eastAsia="Times New Roman" w:hAnsi="Times New Roman" w:cs="Times New Roman"/>
        </w:rPr>
        <w:t xml:space="preserve"> організацій, обмін досвідом, налагодження контактів тощо. Протягом триденного заходу всі учасники почергово працюватимуть як разом, так і в групах, рефлексуючи попередню роботу та розробляючи плани подальшої взаємодії. Групові тематичні активності проводитимуть ментори.</w:t>
      </w:r>
    </w:p>
    <w:p w14:paraId="6BAF2187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8.3. Фінальна онлайн-конференція для представлення результатів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8A61E2C" w14:textId="77777777" w:rsidR="007263DD" w:rsidRDefault="00441DB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Проводиться фінальна онлайн-конференція, на якій презентуються результати проекту. Під час конференції інші ОГС заохочуються до співпраці з ОГС, які брали участь у проекті.</w:t>
      </w:r>
    </w:p>
    <w:p w14:paraId="57E047A3" w14:textId="77777777" w:rsidR="007263DD" w:rsidRDefault="00441DBC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Вищезазначене має привести до отримання наступного результату: </w:t>
      </w:r>
    </w:p>
    <w:p w14:paraId="52292742" w14:textId="77777777" w:rsidR="007263DD" w:rsidRDefault="00441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надав місцевим ОГС стійкі навички та ресурси для самостійного зміцнення організаційної спроможності та продовження зусиль із залучення громадськості поза межами проекту. </w:t>
      </w:r>
    </w:p>
    <w:p w14:paraId="0FD3F029" w14:textId="77777777" w:rsidR="007263DD" w:rsidRDefault="00441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посприяв розвитку місцевої відповідальності та лідерства серед ОГС, надаючи їм можливість самостійно просувати ініціативи та відстоювати потреби громади.</w:t>
      </w:r>
    </w:p>
    <w:p w14:paraId="50B11EEC" w14:textId="77777777" w:rsidR="007263DD" w:rsidRDefault="00441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підтримав створення стійких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мереж серед ОГС та із зовнішніми зацікавленими сторонами, сприяючи постійній співпраці, спільному використанню ресурсів та колективним діям.</w:t>
      </w:r>
    </w:p>
    <w:p w14:paraId="35FC2F42" w14:textId="77777777" w:rsidR="007263DD" w:rsidRDefault="00441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посилив спроможності ОГС мобілізувати ресурси на місцевому рівні та отримати доступ до можливостей фінансування, забезпечуючи таким чином фінансову стійкість та безперервність їхньої діяльності після завершення проекту.</w:t>
      </w:r>
    </w:p>
    <w:p w14:paraId="26ADC38E" w14:textId="77777777" w:rsidR="007263DD" w:rsidRDefault="00441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Щонайменше 18 організацій громадянського суспільства, що працюють у Сумській, Харківській та Дніпропетровській областях України, значно покращили свою організаційну спроможність у сфері інституційного розвитку та тематичних напрямках своєї діяльності.</w:t>
      </w:r>
    </w:p>
    <w:p w14:paraId="7333EA7C" w14:textId="77777777" w:rsidR="007263DD" w:rsidRDefault="00441DB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Розширені можливості мережевої взаємодії дозволяють щонайменше 15 ОГС, що працюють у Сумській, Харківській та Дніпропетровській областях України, налагоджувати зв'язки з іншими НУО, державними установами та міжнародними організаціями з метою встановлення та розвитку ефективних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</w:t>
      </w:r>
    </w:p>
    <w:p w14:paraId="29B79753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3523CC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AAF804" w14:textId="77777777" w:rsidR="007263DD" w:rsidRDefault="00441DBC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 оглядом проекту ознайомлені,</w:t>
      </w:r>
    </w:p>
    <w:p w14:paraId="41F9800E" w14:textId="77777777" w:rsidR="007263DD" w:rsidRDefault="007263DD">
      <w:pPr>
        <w:spacing w:after="0"/>
        <w:rPr>
          <w:rFonts w:ascii="Times New Roman" w:eastAsia="Times New Roman" w:hAnsi="Times New Roman" w:cs="Times New Roman"/>
          <w:color w:val="333333"/>
          <w:highlight w:val="white"/>
        </w:rPr>
      </w:pPr>
    </w:p>
    <w:tbl>
      <w:tblPr>
        <w:tblStyle w:val="af9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3"/>
        <w:gridCol w:w="1127"/>
        <w:gridCol w:w="489"/>
        <w:gridCol w:w="489"/>
        <w:gridCol w:w="489"/>
      </w:tblGrid>
      <w:tr w:rsidR="007263DD" w14:paraId="729E0FC0" w14:textId="77777777"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7853" w14:textId="77777777" w:rsidR="007263DD" w:rsidRDefault="00441DB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ПІБ Учасника: ______________________________________________________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EB676" w14:textId="77777777" w:rsidR="007263DD" w:rsidRDefault="007263DD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8A16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030D5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63DD" w14:paraId="38F9200E" w14:textId="77777777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F37AE" w14:textId="77777777" w:rsidR="007263DD" w:rsidRDefault="00441D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ПІБ Виконавця(-</w:t>
            </w:r>
            <w:proofErr w:type="spellStart"/>
            <w:r>
              <w:rPr>
                <w:rFonts w:ascii="Book Antiqua" w:eastAsia="Book Antiqua" w:hAnsi="Book Antiqua" w:cs="Book Antiqua"/>
              </w:rPr>
              <w:t>ів</w:t>
            </w:r>
            <w:proofErr w:type="spellEnd"/>
            <w:r>
              <w:rPr>
                <w:rFonts w:ascii="Book Antiqua" w:eastAsia="Book Antiqua" w:hAnsi="Book Antiqua" w:cs="Book Antiqua"/>
              </w:rPr>
              <w:t>)*: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</w:t>
            </w:r>
          </w:p>
          <w:p w14:paraId="0C97DCAA" w14:textId="77777777" w:rsidR="007263DD" w:rsidRDefault="0044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*у разі подання учасником пропозиції за декількома виконавцями, зазначаються усі</w:t>
            </w:r>
          </w:p>
        </w:tc>
      </w:tr>
      <w:tr w:rsidR="007263DD" w14:paraId="29A22A0A" w14:textId="77777777"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F78B3" w14:textId="77777777" w:rsidR="007263DD" w:rsidRDefault="00441DB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ПІДПИС Учасника: _____________________________________________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4D09" w14:textId="77777777" w:rsidR="007263DD" w:rsidRDefault="007263DD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61C39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59B43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63DD" w14:paraId="22DFF2C3" w14:textId="77777777"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8D29" w14:textId="77777777" w:rsidR="007263DD" w:rsidRDefault="00441DB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Електронна пошта та мобільний телефон учасника______________________________________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3B54" w14:textId="77777777" w:rsidR="007263DD" w:rsidRDefault="007263DD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</w:tr>
      <w:tr w:rsidR="007263DD" w14:paraId="7CA33C00" w14:textId="77777777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F63D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63DD" w14:paraId="1B4325F4" w14:textId="77777777"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1D4E5" w14:textId="77777777" w:rsidR="007263DD" w:rsidRDefault="00441DB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ПЕЧАТКА (за наявності):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129A4" w14:textId="77777777" w:rsidR="007263DD" w:rsidRDefault="007263DD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720E4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59A06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E3A0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63DD" w14:paraId="04FF9941" w14:textId="77777777"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3B74A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B7952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A2284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B1917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E5A00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63DD" w14:paraId="549BBBE3" w14:textId="77777777"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711A0" w14:textId="77777777" w:rsidR="007263DD" w:rsidRDefault="00441DBC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ДАТА: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1E1D" w14:textId="77777777" w:rsidR="007263DD" w:rsidRDefault="007263DD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C0318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F9147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5174C" w14:textId="77777777" w:rsidR="007263DD" w:rsidRDefault="0072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83E846" w14:textId="77777777" w:rsidR="007263DD" w:rsidRDefault="007263DD">
      <w:pPr>
        <w:rPr>
          <w:rFonts w:ascii="Times New Roman" w:eastAsia="Times New Roman" w:hAnsi="Times New Roman" w:cs="Times New Roman"/>
        </w:rPr>
      </w:pPr>
    </w:p>
    <w:p w14:paraId="6072CC73" w14:textId="77777777" w:rsidR="007263DD" w:rsidRDefault="00726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F1A3DE8" w14:textId="77777777" w:rsidR="007263DD" w:rsidRDefault="00726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CC5B6DD" w14:textId="77777777" w:rsidR="007263DD" w:rsidRDefault="0044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6804FDFF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104F1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75B35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2C8EF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35A02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0C8D4" w14:textId="77777777" w:rsidR="007263DD" w:rsidRDefault="0072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7263DD">
      <w:headerReference w:type="default" r:id="rId12"/>
      <w:footerReference w:type="default" r:id="rId13"/>
      <w:footerReference w:type="first" r:id="rId14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B080" w14:textId="77777777" w:rsidR="00A349E1" w:rsidRDefault="00A349E1">
      <w:pPr>
        <w:spacing w:after="0" w:line="240" w:lineRule="auto"/>
      </w:pPr>
      <w:r>
        <w:separator/>
      </w:r>
    </w:p>
  </w:endnote>
  <w:endnote w:type="continuationSeparator" w:id="0">
    <w:p w14:paraId="24A66AB1" w14:textId="77777777" w:rsidR="00A349E1" w:rsidRDefault="00A3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C146" w14:textId="77777777" w:rsidR="007263DD" w:rsidRDefault="00441DBC">
    <w:pPr>
      <w:jc w:val="right"/>
    </w:pPr>
    <w:r>
      <w:fldChar w:fldCharType="begin"/>
    </w:r>
    <w:r>
      <w:instrText>PAGE</w:instrText>
    </w:r>
    <w:r>
      <w:fldChar w:fldCharType="separate"/>
    </w:r>
    <w:r w:rsidR="00F5317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53FB" w14:textId="77777777" w:rsidR="007263DD" w:rsidRDefault="00726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D288" w14:textId="77777777" w:rsidR="00A349E1" w:rsidRDefault="00A349E1">
      <w:pPr>
        <w:spacing w:after="0" w:line="240" w:lineRule="auto"/>
      </w:pPr>
      <w:r>
        <w:separator/>
      </w:r>
    </w:p>
  </w:footnote>
  <w:footnote w:type="continuationSeparator" w:id="0">
    <w:p w14:paraId="04900DB4" w14:textId="77777777" w:rsidR="00A349E1" w:rsidRDefault="00A3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6603" w14:textId="77777777" w:rsidR="007263DD" w:rsidRDefault="007263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16F"/>
    <w:multiLevelType w:val="multilevel"/>
    <w:tmpl w:val="6D46A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B2BF7"/>
    <w:multiLevelType w:val="multilevel"/>
    <w:tmpl w:val="ADF88958"/>
    <w:lvl w:ilvl="0">
      <w:start w:val="1"/>
      <w:numFmt w:val="bullet"/>
      <w:lvlText w:val="●"/>
      <w:lvlJc w:val="left"/>
      <w:pPr>
        <w:ind w:left="141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ED5AFA"/>
    <w:multiLevelType w:val="multilevel"/>
    <w:tmpl w:val="0A469E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96E6680"/>
    <w:multiLevelType w:val="multilevel"/>
    <w:tmpl w:val="1E3A1AF2"/>
    <w:lvl w:ilvl="0">
      <w:start w:val="1"/>
      <w:numFmt w:val="bullet"/>
      <w:lvlText w:val="●"/>
      <w:lvlJc w:val="left"/>
      <w:pPr>
        <w:ind w:left="141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2F566B"/>
    <w:multiLevelType w:val="multilevel"/>
    <w:tmpl w:val="33A48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DD"/>
    <w:rsid w:val="00251213"/>
    <w:rsid w:val="00441DBC"/>
    <w:rsid w:val="00622097"/>
    <w:rsid w:val="007263DD"/>
    <w:rsid w:val="00812132"/>
    <w:rsid w:val="00984265"/>
    <w:rsid w:val="00A349E1"/>
    <w:rsid w:val="00F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A232"/>
  <w15:docId w15:val="{7975D9AF-39AA-42A7-8BB1-8B1F85D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paragraph" w:styleId="1">
    <w:name w:val="heading 1"/>
    <w:basedOn w:val="a"/>
    <w:next w:val="a"/>
    <w:link w:val="10"/>
    <w:uiPriority w:val="9"/>
    <w:qFormat/>
    <w:rsid w:val="0073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6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2680"/>
  </w:style>
  <w:style w:type="paragraph" w:styleId="a6">
    <w:name w:val="footer"/>
    <w:basedOn w:val="a"/>
    <w:link w:val="a7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2680"/>
  </w:style>
  <w:style w:type="table" w:styleId="a8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1 Буллет,AC List 01,заголовок 1.1,название табл/рис,Список уровня 2,List Paragraph (numbered (a)),List_Paragraph,Multilevel para_II,List Paragraph-ExecSummary,Akapit z listą BS,Bullets,List Paragraph 1,References,IBL List Paragraph"/>
    <w:basedOn w:val="a"/>
    <w:link w:val="aa"/>
    <w:uiPriority w:val="34"/>
    <w:qFormat/>
    <w:rsid w:val="00CD407A"/>
    <w:pPr>
      <w:ind w:left="720"/>
      <w:contextualSpacing/>
    </w:pPr>
  </w:style>
  <w:style w:type="character" w:customStyle="1" w:styleId="aa">
    <w:name w:val="Абзац списку Знак"/>
    <w:aliases w:val="1 Буллет Знак,AC List 01 Знак,заголовок 1.1 Знак,название табл/рис Знак,Список уровня 2 Знак,List Paragraph (numbered (a)) Знак,List_Paragraph Знак,Multilevel para_II Знак,List Paragraph-ExecSummary Знак,Akapit z listą BS Знак"/>
    <w:link w:val="a9"/>
    <w:uiPriority w:val="34"/>
    <w:rsid w:val="00CD407A"/>
  </w:style>
  <w:style w:type="paragraph" w:styleId="ab">
    <w:name w:val="Normal (Web)"/>
    <w:basedOn w:val="a"/>
    <w:uiPriority w:val="99"/>
    <w:unhideWhenUsed/>
    <w:rsid w:val="00A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6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Strong"/>
    <w:basedOn w:val="a0"/>
    <w:uiPriority w:val="22"/>
    <w:qFormat/>
    <w:rsid w:val="00D16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F2E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D6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D6218D"/>
    <w:rPr>
      <w:rFonts w:ascii="Segoe UI" w:hAnsi="Segoe UI" w:cs="Segoe UI"/>
      <w:sz w:val="18"/>
      <w:szCs w:val="18"/>
    </w:r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k4iQcVytEiI11MfMlXwsAGKag==">CgMxLjAyCGguZ2pkZ3hzOABqJQoUc3VnZ2VzdC4zb3B4NHNvNHUwMWkSDU9sZWtzaWkgTHlza2FqJQoUc3VnZ2VzdC5mcGFvbTVrYnByOXoSDU9sZWtzaWkgTHlza2FyITF2T01UWXVCTmNtUkZIYWpUeVdzdE94WnNjczZJQktvQw==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6696</Words>
  <Characters>3818</Characters>
  <Application>Microsoft Office Word</Application>
  <DocSecurity>0</DocSecurity>
  <Lines>31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2024-08-05T16:43:00Z</dcterms:created>
  <dcterms:modified xsi:type="dcterms:W3CDTF">2025-05-01T11:07:00Z</dcterms:modified>
</cp:coreProperties>
</file>