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A2" w:rsidRDefault="00B232A2">
      <w:pPr>
        <w:widowControl w:val="0"/>
        <w:spacing w:after="200"/>
        <w:ind w:firstLine="720"/>
        <w:jc w:val="center"/>
        <w:rPr>
          <w:rFonts w:ascii="Times New Roman" w:eastAsia="Times New Roman" w:hAnsi="Times New Roman" w:cs="Times New Roman"/>
          <w:b/>
          <w:highlight w:val="white"/>
        </w:rPr>
      </w:pPr>
      <w:bookmarkStart w:id="0" w:name="_heading=h.7bg1cnfemh9u" w:colFirst="0" w:colLast="0"/>
      <w:bookmarkEnd w:id="0"/>
    </w:p>
    <w:p w:rsidR="00551D0A" w:rsidRDefault="00B232A2">
      <w:pPr>
        <w:widowControl w:val="0"/>
        <w:spacing w:after="200"/>
        <w:ind w:firstLine="720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ТЕХНІЧНЕ ЗАВДАННЯ ДЛЯ ЗАКУПІВЛІ ПОСЛУГ</w:t>
      </w:r>
    </w:p>
    <w:p w:rsidR="00551D0A" w:rsidRDefault="00B2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5gxdailq391u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REPORTING OFFICER </w:t>
      </w:r>
    </w:p>
    <w:p w:rsidR="00551D0A" w:rsidRDefault="00B2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ДО ТЕНДЕРУ БЛАГОДІЙНОЇ ОРГАНІЗАЦІЇ "БЛАГОДІЙНИЙ ФОНД "РОКАДА"</w:t>
      </w:r>
    </w:p>
    <w:p w:rsidR="00551D0A" w:rsidRDefault="00551D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highlight w:val="red"/>
        </w:rPr>
      </w:pPr>
    </w:p>
    <w:p w:rsidR="00551D0A" w:rsidRPr="00B232A2" w:rsidRDefault="003074F6" w:rsidP="00B232A2">
      <w:pPr>
        <w:jc w:val="center"/>
        <w:rPr>
          <w:rFonts w:ascii="Times New Roman" w:eastAsia="Times New Roman" w:hAnsi="Times New Roman" w:cs="Times New Roman"/>
          <w:i/>
        </w:rPr>
      </w:pPr>
      <w:proofErr w:type="spellStart"/>
      <w:r w:rsidRPr="00B232A2">
        <w:rPr>
          <w:rFonts w:ascii="Times New Roman" w:eastAsia="Times New Roman" w:hAnsi="Times New Roman" w:cs="Times New Roman"/>
          <w:i/>
        </w:rPr>
        <w:t>Проєкт</w:t>
      </w:r>
      <w:proofErr w:type="spellEnd"/>
      <w:r w:rsidRPr="00B232A2">
        <w:rPr>
          <w:rFonts w:ascii="Times New Roman" w:eastAsia="Times New Roman" w:hAnsi="Times New Roman" w:cs="Times New Roman"/>
          <w:i/>
        </w:rPr>
        <w:t xml:space="preserve"> “Посилення через Єдність: Підтримка зміцнення потенціалу місцевих ГО в Сумській, Харківській, Дніпропетровській областях” здійснюється в межах </w:t>
      </w:r>
      <w:proofErr w:type="spellStart"/>
      <w:r w:rsidRPr="00B232A2">
        <w:rPr>
          <w:rFonts w:ascii="Times New Roman" w:eastAsia="Times New Roman" w:hAnsi="Times New Roman" w:cs="Times New Roman"/>
          <w:i/>
        </w:rPr>
        <w:t>мультидонорського</w:t>
      </w:r>
      <w:proofErr w:type="spellEnd"/>
      <w:r w:rsidRPr="00B232A2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B232A2">
        <w:rPr>
          <w:rFonts w:ascii="Times New Roman" w:eastAsia="Times New Roman" w:hAnsi="Times New Roman" w:cs="Times New Roman"/>
          <w:i/>
        </w:rPr>
        <w:t>проєкту</w:t>
      </w:r>
      <w:proofErr w:type="spellEnd"/>
      <w:r w:rsidRPr="00B232A2">
        <w:rPr>
          <w:rFonts w:ascii="Times New Roman" w:eastAsia="Times New Roman" w:hAnsi="Times New Roman" w:cs="Times New Roman"/>
          <w:i/>
        </w:rPr>
        <w:t xml:space="preserve"> «Посилення постраждалих від війни громад України через місцеві ініціативи (EMPOW</w:t>
      </w:r>
      <w:r w:rsidRPr="00B232A2">
        <w:rPr>
          <w:rFonts w:ascii="Times New Roman" w:eastAsia="Times New Roman" w:hAnsi="Times New Roman" w:cs="Times New Roman"/>
          <w:i/>
        </w:rPr>
        <w:t>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</w:t>
      </w:r>
      <w:r w:rsidRPr="00B232A2">
        <w:rPr>
          <w:rFonts w:ascii="Times New Roman" w:eastAsia="Times New Roman" w:hAnsi="Times New Roman" w:cs="Times New Roman"/>
          <w:i/>
        </w:rPr>
        <w:t xml:space="preserve">ародного співробітництва (GIZ) </w:t>
      </w:r>
      <w:proofErr w:type="spellStart"/>
      <w:r w:rsidRPr="00B232A2">
        <w:rPr>
          <w:rFonts w:ascii="Times New Roman" w:eastAsia="Times New Roman" w:hAnsi="Times New Roman" w:cs="Times New Roman"/>
          <w:i/>
        </w:rPr>
        <w:t>ГмбХ</w:t>
      </w:r>
      <w:proofErr w:type="spellEnd"/>
      <w:r w:rsidRPr="00B232A2">
        <w:rPr>
          <w:rFonts w:ascii="Times New Roman" w:eastAsia="Times New Roman" w:hAnsi="Times New Roman" w:cs="Times New Roman"/>
          <w:i/>
        </w:rPr>
        <w:t>.</w:t>
      </w:r>
    </w:p>
    <w:p w:rsidR="00551D0A" w:rsidRDefault="003074F6" w:rsidP="00B232A2">
      <w:pPr>
        <w:spacing w:before="80"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Мета проекту:</w:t>
      </w:r>
      <w:r>
        <w:rPr>
          <w:rFonts w:ascii="Times New Roman" w:eastAsia="Times New Roman" w:hAnsi="Times New Roman" w:cs="Times New Roman"/>
        </w:rPr>
        <w:t xml:space="preserve"> посилити організаційну спроможність місцевих ОГС, що працюють у Сумській, Харківській та Дніпропетровській областях України шляхом навчання, консультування, менторської підтримки, передачі знань, розвитку </w:t>
      </w:r>
      <w:r>
        <w:rPr>
          <w:rFonts w:ascii="Times New Roman" w:eastAsia="Times New Roman" w:hAnsi="Times New Roman" w:cs="Times New Roman"/>
        </w:rPr>
        <w:t>навичок та налагодження мереж для горизонтальної комунікації та співпраці з місцевими органами влади; надати комплексну підтримку в надзвичайних ситуаціях для підвищення стійкості та добробуту вразливих груп населення в цільових регіонах.</w:t>
      </w:r>
    </w:p>
    <w:p w:rsidR="00551D0A" w:rsidRDefault="00551D0A">
      <w:pPr>
        <w:spacing w:before="80" w:after="0" w:line="276" w:lineRule="auto"/>
        <w:jc w:val="both"/>
        <w:rPr>
          <w:rFonts w:ascii="Arial" w:eastAsia="Arial" w:hAnsi="Arial" w:cs="Arial"/>
          <w:color w:val="000000"/>
          <w:highlight w:val="yellow"/>
        </w:rPr>
      </w:pPr>
    </w:p>
    <w:p w:rsidR="00551D0A" w:rsidRDefault="003074F6" w:rsidP="00B232A2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b/>
        </w:rPr>
        <w:t>Вакантна вакансі</w:t>
      </w:r>
      <w:r>
        <w:rPr>
          <w:rFonts w:ascii="Times New Roman" w:eastAsia="Times New Roman" w:hAnsi="Times New Roman" w:cs="Times New Roman"/>
          <w:b/>
        </w:rPr>
        <w:t xml:space="preserve">я: </w:t>
      </w:r>
      <w:proofErr w:type="spellStart"/>
      <w:r>
        <w:rPr>
          <w:rFonts w:ascii="Times New Roman" w:eastAsia="Times New Roman" w:hAnsi="Times New Roman" w:cs="Times New Roman"/>
        </w:rPr>
        <w:t>Reporting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(Далі – Фахівець)  </w:t>
      </w:r>
    </w:p>
    <w:p w:rsidR="00551D0A" w:rsidRDefault="003074F6" w:rsidP="00B232A2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Формат надання послуг</w:t>
      </w:r>
      <w:r>
        <w:rPr>
          <w:rFonts w:ascii="Times New Roman" w:eastAsia="Times New Roman" w:hAnsi="Times New Roman" w:cs="Times New Roman"/>
          <w:color w:val="000000"/>
        </w:rPr>
        <w:t>: онлайн</w:t>
      </w:r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офлайн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551D0A" w:rsidRDefault="003074F6" w:rsidP="00B232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>
        <w:rPr>
          <w:rFonts w:ascii="Times New Roman" w:eastAsia="Times New Roman" w:hAnsi="Times New Roman" w:cs="Times New Roman"/>
          <w:b/>
        </w:rPr>
        <w:t>очаток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надання послуг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highlight w:val="white"/>
        </w:rPr>
        <w:t>серпень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202</w:t>
      </w:r>
      <w:r>
        <w:rPr>
          <w:rFonts w:ascii="Times New Roman" w:eastAsia="Times New Roman" w:hAnsi="Times New Roman" w:cs="Times New Roman"/>
          <w:highlight w:val="white"/>
        </w:rPr>
        <w:t>5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р.- </w:t>
      </w:r>
      <w:r>
        <w:rPr>
          <w:rFonts w:ascii="Times New Roman" w:eastAsia="Times New Roman" w:hAnsi="Times New Roman" w:cs="Times New Roman"/>
          <w:highlight w:val="white"/>
        </w:rPr>
        <w:t xml:space="preserve">серпень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202</w:t>
      </w:r>
      <w:r>
        <w:rPr>
          <w:rFonts w:ascii="Times New Roman" w:eastAsia="Times New Roman" w:hAnsi="Times New Roman" w:cs="Times New Roman"/>
          <w:highlight w:val="white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р.</w:t>
      </w:r>
    </w:p>
    <w:p w:rsidR="00551D0A" w:rsidRDefault="003074F6" w:rsidP="00B232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3" w:name="_heading=h.2et92p0" w:colFirst="0" w:colLast="0"/>
      <w:bookmarkEnd w:id="3"/>
      <w:r>
        <w:rPr>
          <w:rFonts w:ascii="Times New Roman" w:eastAsia="Times New Roman" w:hAnsi="Times New Roman" w:cs="Times New Roman"/>
          <w:b/>
        </w:rPr>
        <w:t xml:space="preserve">Географія учасників проекту: </w:t>
      </w:r>
      <w:r>
        <w:rPr>
          <w:rFonts w:ascii="Times New Roman" w:eastAsia="Times New Roman" w:hAnsi="Times New Roman" w:cs="Times New Roman"/>
        </w:rPr>
        <w:t>Сумська, Харківська, Дніпропетровська області</w:t>
      </w:r>
    </w:p>
    <w:p w:rsidR="00551D0A" w:rsidRDefault="003074F6" w:rsidP="00B232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Кількість надавачів послуг:</w:t>
      </w:r>
      <w:r>
        <w:rPr>
          <w:rFonts w:ascii="Times New Roman" w:eastAsia="Times New Roman" w:hAnsi="Times New Roman" w:cs="Times New Roman"/>
        </w:rPr>
        <w:t xml:space="preserve"> в рамках даного тендеру буде відібрано 1 переможця.</w:t>
      </w:r>
    </w:p>
    <w:p w:rsidR="00551D0A" w:rsidRDefault="003074F6" w:rsidP="00B232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>Орієнтовна залученість Фахівця:</w:t>
      </w:r>
      <w:r>
        <w:rPr>
          <w:rFonts w:ascii="Times New Roman" w:eastAsia="Times New Roman" w:hAnsi="Times New Roman" w:cs="Times New Roman"/>
          <w:highlight w:val="white"/>
        </w:rPr>
        <w:t xml:space="preserve"> від моменту підписання контракту до 31 серпня 2026 року. </w:t>
      </w:r>
    </w:p>
    <w:p w:rsidR="00551D0A" w:rsidRDefault="00551D0A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:rsidR="00551D0A" w:rsidRDefault="003074F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Технічне завдання в рамках надання послуг:</w:t>
      </w:r>
    </w:p>
    <w:tbl>
      <w:tblPr>
        <w:tblStyle w:val="af3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4678"/>
        <w:gridCol w:w="4819"/>
      </w:tblGrid>
      <w:tr w:rsidR="00551D0A" w:rsidTr="00B232A2">
        <w:trPr>
          <w:trHeight w:val="266"/>
        </w:trPr>
        <w:tc>
          <w:tcPr>
            <w:tcW w:w="5807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bookmarkStart w:id="4" w:name="_heading=h.tyjcwt" w:colFirst="0" w:colLast="0"/>
            <w:bookmarkEnd w:id="4"/>
            <w:r>
              <w:rPr>
                <w:rFonts w:ascii="Times New Roman" w:eastAsia="Times New Roman" w:hAnsi="Times New Roman" w:cs="Times New Roman"/>
              </w:rPr>
              <w:t xml:space="preserve">Завдання </w:t>
            </w:r>
          </w:p>
        </w:tc>
        <w:tc>
          <w:tcPr>
            <w:tcW w:w="4678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Очікуваний результат </w:t>
            </w:r>
          </w:p>
        </w:tc>
        <w:tc>
          <w:tcPr>
            <w:tcW w:w="4819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Період виконання</w:t>
            </w:r>
          </w:p>
        </w:tc>
      </w:tr>
      <w:tr w:rsidR="00551D0A" w:rsidTr="00B232A2">
        <w:trPr>
          <w:trHeight w:val="1079"/>
        </w:trPr>
        <w:tc>
          <w:tcPr>
            <w:tcW w:w="5807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Зворотний зв’язок із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бенефіціарами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якісний контроль даних: проведення опитувань, аналіз скарг і пропозицій, реагування на зауваження для покращення послуг.</w:t>
            </w:r>
          </w:p>
        </w:tc>
        <w:tc>
          <w:tcPr>
            <w:tcW w:w="4678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Команда має необхідні навички для збору та аналізу даних, що покращує загальну ефективність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</w:t>
            </w:r>
            <w:r>
              <w:rPr>
                <w:rFonts w:ascii="Times New Roman" w:eastAsia="Times New Roman" w:hAnsi="Times New Roman" w:cs="Times New Roman"/>
              </w:rPr>
              <w:t>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Постійно протягом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</w:tr>
      <w:tr w:rsidR="00551D0A" w:rsidTr="00B232A2">
        <w:trPr>
          <w:trHeight w:val="145"/>
        </w:trPr>
        <w:tc>
          <w:tcPr>
            <w:tcW w:w="5807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Координація з командою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(соціальні працівники, юристи, психологи, дистриб’ютори тощо) для забезпечення повноти та уніфікації даних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бенефіціарах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Єдині уніфіковані списки по всім напрямкам, своєчасно передані донорам.</w:t>
            </w:r>
          </w:p>
        </w:tc>
        <w:tc>
          <w:tcPr>
            <w:tcW w:w="4819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Постійно протягом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</w:tr>
      <w:tr w:rsidR="00551D0A" w:rsidTr="00B232A2">
        <w:trPr>
          <w:trHeight w:val="145"/>
        </w:trPr>
        <w:tc>
          <w:tcPr>
            <w:tcW w:w="5807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Консультації з GIZ щодо форм звітності та підрахунку унікальних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бенефіціарів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Узгоджені методики, підтвердження прийняття звітності донорами.</w:t>
            </w:r>
          </w:p>
        </w:tc>
        <w:tc>
          <w:tcPr>
            <w:tcW w:w="4819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потреби протягом усього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</w:tr>
      <w:tr w:rsidR="00551D0A" w:rsidTr="00B232A2">
        <w:trPr>
          <w:trHeight w:val="1891"/>
        </w:trPr>
        <w:tc>
          <w:tcPr>
            <w:tcW w:w="5807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Створення звітності відповідно до стандартів донора: місячні звітні таблиці щодо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бенефіціарів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наративний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звіт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щопівроку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з детальним описом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активностей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викликів проекту.</w:t>
            </w:r>
          </w:p>
        </w:tc>
        <w:tc>
          <w:tcPr>
            <w:tcW w:w="4678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Чітка система моніторингу, узгоджена з міжнар</w:t>
            </w:r>
            <w:r>
              <w:rPr>
                <w:rFonts w:ascii="Times New Roman" w:eastAsia="Times New Roman" w:hAnsi="Times New Roman" w:cs="Times New Roman"/>
              </w:rPr>
              <w:t>одними стандартами та донором.</w:t>
            </w:r>
          </w:p>
        </w:tc>
        <w:tc>
          <w:tcPr>
            <w:tcW w:w="4819" w:type="dxa"/>
          </w:tcPr>
          <w:p w:rsidR="00551D0A" w:rsidRDefault="003074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Протягом усього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</w:p>
        </w:tc>
      </w:tr>
    </w:tbl>
    <w:p w:rsidR="00551D0A" w:rsidRDefault="00551D0A">
      <w:pPr>
        <w:widowControl w:val="0"/>
        <w:spacing w:after="200"/>
        <w:jc w:val="both"/>
        <w:rPr>
          <w:rFonts w:ascii="Times New Roman" w:eastAsia="Times New Roman" w:hAnsi="Times New Roman" w:cs="Times New Roman"/>
          <w:b/>
        </w:rPr>
      </w:pPr>
    </w:p>
    <w:p w:rsidR="00551D0A" w:rsidRDefault="003074F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Звітність </w:t>
      </w:r>
    </w:p>
    <w:p w:rsidR="00551D0A" w:rsidRDefault="003074F6">
      <w:pPr>
        <w:widowControl w:val="0"/>
        <w:spacing w:after="2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Фахівець подає Звіт залученого </w:t>
      </w:r>
      <w:proofErr w:type="spellStart"/>
      <w:r>
        <w:rPr>
          <w:rFonts w:ascii="Times New Roman" w:eastAsia="Times New Roman" w:hAnsi="Times New Roman" w:cs="Times New Roman"/>
        </w:rPr>
        <w:t>Reporting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officer</w:t>
      </w:r>
      <w:proofErr w:type="spellEnd"/>
      <w:r>
        <w:rPr>
          <w:rFonts w:ascii="Times New Roman" w:eastAsia="Times New Roman" w:hAnsi="Times New Roman" w:cs="Times New Roman"/>
        </w:rPr>
        <w:t>, описовий звіт за кожним із передбачених завдань, зразки розроблених матеріалів, які стали підставою для оплати за надані послуги, таблиці, реєстри та інші продукти. Всі матеріали розроблені в рамках реаліза</w:t>
      </w:r>
      <w:r>
        <w:rPr>
          <w:rFonts w:ascii="Times New Roman" w:eastAsia="Times New Roman" w:hAnsi="Times New Roman" w:cs="Times New Roman"/>
        </w:rPr>
        <w:t>ції проекту зберігаються на корпоративному диску.</w:t>
      </w:r>
    </w:p>
    <w:p w:rsidR="00551D0A" w:rsidRDefault="003074F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Звіти та всі супровідні матеріали, виготовлені Фахівцем в рамках </w:t>
      </w:r>
      <w:proofErr w:type="spellStart"/>
      <w:r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, передані Фонду без обтяження щодо авторських прав.</w:t>
      </w:r>
    </w:p>
    <w:p w:rsidR="00551D0A" w:rsidRDefault="003074F6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Звіт подається щомісячно до 10 числа (за попередній місяць) або по факту надання </w:t>
      </w:r>
      <w:r>
        <w:rPr>
          <w:rFonts w:ascii="Times New Roman" w:eastAsia="Times New Roman" w:hAnsi="Times New Roman" w:cs="Times New Roman"/>
        </w:rPr>
        <w:t>послуг.</w:t>
      </w:r>
    </w:p>
    <w:p w:rsidR="00551D0A" w:rsidRDefault="003074F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Умови співпраці</w:t>
      </w:r>
    </w:p>
    <w:p w:rsidR="00551D0A" w:rsidRDefault="003074F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Учасником тендеру може бути ФОП, яка подає свою пропозицію для участі у тендері. Виконавець, у контексті цього тендеру, — це особа, яка безпосередньо надаватиме послуги відповідно до умов тендерної документації та укладеного договору.</w:t>
      </w:r>
    </w:p>
    <w:p w:rsidR="00551D0A" w:rsidRDefault="003074F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Всі розрахунки здійсн</w:t>
      </w:r>
      <w:r>
        <w:rPr>
          <w:rFonts w:ascii="Times New Roman" w:eastAsia="Times New Roman" w:hAnsi="Times New Roman" w:cs="Times New Roman"/>
          <w:color w:val="000000"/>
        </w:rPr>
        <w:t>юються виключно у національній валюті України (гривні) шляхом банківського переказу на поточний рахунок фізичної особи підприємця - постачальника послуг</w:t>
      </w:r>
      <w:r>
        <w:rPr>
          <w:rFonts w:ascii="Times New Roman" w:eastAsia="Times New Roman" w:hAnsi="Times New Roman" w:cs="Times New Roman"/>
        </w:rPr>
        <w:t xml:space="preserve"> протягом 7 робочих днів з дати затвердження звітних документів та надання рахунку.</w:t>
      </w:r>
    </w:p>
    <w:p w:rsidR="00551D0A" w:rsidRDefault="003074F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Фонд має право прийн</w:t>
      </w:r>
      <w:r>
        <w:rPr>
          <w:rFonts w:ascii="Times New Roman" w:eastAsia="Times New Roman" w:hAnsi="Times New Roman" w:cs="Times New Roman"/>
          <w:color w:val="000000"/>
          <w:highlight w:val="white"/>
        </w:rPr>
        <w:t>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551D0A" w:rsidRDefault="003074F6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проєкту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БО «БФ «Рокада»».</w:t>
      </w:r>
    </w:p>
    <w:p w:rsidR="00551D0A" w:rsidRDefault="003074F6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Податки, збори або платежі Уряду України, Уряду Федеративної Республіки Німеччина та/або Урядам будь-яких інших країн с</w:t>
      </w:r>
      <w:r>
        <w:rPr>
          <w:rFonts w:ascii="Times New Roman" w:eastAsia="Times New Roman" w:hAnsi="Times New Roman" w:cs="Times New Roman"/>
          <w:color w:val="000000"/>
        </w:rPr>
        <w:t>плачуються Консультантом відповідно до отриманої суми.</w:t>
      </w:r>
    </w:p>
    <w:p w:rsidR="00551D0A" w:rsidRDefault="003074F6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Учасник не має бути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санкційних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списках України, ЄС, США, Канади, Японії, Великобританії.</w:t>
      </w:r>
    </w:p>
    <w:p w:rsidR="00551D0A" w:rsidRDefault="003074F6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Якщо у</w:t>
      </w:r>
      <w:r>
        <w:rPr>
          <w:rFonts w:ascii="Times New Roman" w:eastAsia="Times New Roman" w:hAnsi="Times New Roman" w:cs="Times New Roman"/>
          <w:color w:val="000000"/>
        </w:rPr>
        <w:t xml:space="preserve">часник є </w:t>
      </w:r>
      <w:r>
        <w:rPr>
          <w:rFonts w:ascii="Times New Roman" w:eastAsia="Times New Roman" w:hAnsi="Times New Roman" w:cs="Times New Roman"/>
        </w:rPr>
        <w:t>ФОП, то він</w:t>
      </w:r>
      <w:r>
        <w:rPr>
          <w:rFonts w:ascii="Times New Roman" w:eastAsia="Times New Roman" w:hAnsi="Times New Roman" w:cs="Times New Roman"/>
          <w:color w:val="000000"/>
        </w:rPr>
        <w:t xml:space="preserve"> не має перебувати в процесі припинення діяльності.</w:t>
      </w:r>
    </w:p>
    <w:p w:rsidR="00551D0A" w:rsidRDefault="003074F6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Вимоги до подання пропозицій</w:t>
      </w:r>
    </w:p>
    <w:p w:rsidR="00551D0A" w:rsidRDefault="003074F6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</w:t>
      </w:r>
      <w:r>
        <w:rPr>
          <w:rFonts w:ascii="Times New Roman" w:eastAsia="Times New Roman" w:hAnsi="Times New Roman" w:cs="Times New Roman"/>
        </w:rPr>
        <w:t xml:space="preserve">позиція повинна бути складена </w:t>
      </w:r>
      <w:r>
        <w:rPr>
          <w:rFonts w:ascii="Times New Roman" w:eastAsia="Times New Roman" w:hAnsi="Times New Roman" w:cs="Times New Roman"/>
          <w:b/>
          <w:u w:val="single"/>
        </w:rPr>
        <w:t>українською мовою</w:t>
      </w:r>
      <w:r>
        <w:rPr>
          <w:rFonts w:ascii="Times New Roman" w:eastAsia="Times New Roman" w:hAnsi="Times New Roman" w:cs="Times New Roman"/>
        </w:rPr>
        <w:t xml:space="preserve">. </w:t>
      </w:r>
    </w:p>
    <w:p w:rsidR="00551D0A" w:rsidRDefault="003074F6">
      <w:pPr>
        <w:widowControl w:val="0"/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Просимо надати наступний пакет документів, який буде містити::</w:t>
      </w:r>
    </w:p>
    <w:p w:rsidR="00551D0A" w:rsidRDefault="003074F6">
      <w:pPr>
        <w:widowControl w:val="0"/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Контактну інформацію виконавця;</w:t>
      </w:r>
    </w:p>
    <w:p w:rsidR="00551D0A" w:rsidRDefault="003074F6">
      <w:pPr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CV з детальним описом релевантного досвіду за останні 3 роки. Будь ласка, опишіть досвід роботи у сфері звітнос</w:t>
      </w:r>
      <w:r>
        <w:rPr>
          <w:rFonts w:ascii="Times New Roman" w:eastAsia="Times New Roman" w:hAnsi="Times New Roman" w:cs="Times New Roman"/>
        </w:rPr>
        <w:t xml:space="preserve">ті та аналітики: у яких </w:t>
      </w:r>
      <w:proofErr w:type="spellStart"/>
      <w:r>
        <w:rPr>
          <w:rFonts w:ascii="Times New Roman" w:eastAsia="Times New Roman" w:hAnsi="Times New Roman" w:cs="Times New Roman"/>
        </w:rPr>
        <w:t>проєктах</w:t>
      </w:r>
      <w:proofErr w:type="spellEnd"/>
      <w:r>
        <w:rPr>
          <w:rFonts w:ascii="Times New Roman" w:eastAsia="Times New Roman" w:hAnsi="Times New Roman" w:cs="Times New Roman"/>
        </w:rPr>
        <w:t xml:space="preserve"> ви готували звіти (для донорів, партнерів, державних структур), які інструменти та методології використовували (Excel, </w:t>
      </w:r>
      <w:proofErr w:type="spellStart"/>
      <w:r>
        <w:rPr>
          <w:rFonts w:ascii="Times New Roman" w:eastAsia="Times New Roman" w:hAnsi="Times New Roman" w:cs="Times New Roman"/>
        </w:rPr>
        <w:t>Power</w:t>
      </w:r>
      <w:proofErr w:type="spellEnd"/>
      <w:r>
        <w:rPr>
          <w:rFonts w:ascii="Times New Roman" w:eastAsia="Times New Roman" w:hAnsi="Times New Roman" w:cs="Times New Roman"/>
        </w:rPr>
        <w:t xml:space="preserve"> BI, спеціалізовані бази даних, інші системи моніторингу), які типи звітів формували (фінансові, оп</w:t>
      </w:r>
      <w:r>
        <w:rPr>
          <w:rFonts w:ascii="Times New Roman" w:eastAsia="Times New Roman" w:hAnsi="Times New Roman" w:cs="Times New Roman"/>
        </w:rPr>
        <w:t>исові, аналітичні, статистичні) та які результати були досягнуті. Додайте інформацію про досвід роботи у громадському секторі чи міжнародних організаціях; досвід підготовки узагальнених оглядів, інформаційних бюлетенів, презентацій та дотримання стандартів</w:t>
      </w:r>
      <w:r>
        <w:rPr>
          <w:rFonts w:ascii="Times New Roman" w:eastAsia="Times New Roman" w:hAnsi="Times New Roman" w:cs="Times New Roman"/>
        </w:rPr>
        <w:t xml:space="preserve"> звітності донорів.</w:t>
      </w:r>
    </w:p>
    <w:p w:rsidR="00551D0A" w:rsidRDefault="003074F6">
      <w:pPr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Інформація про пройдені навчання, тренінги та отримані сертифікати (зокрема з моніторингу та оцінки, підготовки звітності, аналізу даних, дотримання стандартів підзвітності, управління </w:t>
      </w:r>
      <w:proofErr w:type="spellStart"/>
      <w:r>
        <w:rPr>
          <w:rFonts w:ascii="Times New Roman" w:eastAsia="Times New Roman" w:hAnsi="Times New Roman" w:cs="Times New Roman"/>
        </w:rPr>
        <w:t>проєктною</w:t>
      </w:r>
      <w:proofErr w:type="spellEnd"/>
      <w:r>
        <w:rPr>
          <w:rFonts w:ascii="Times New Roman" w:eastAsia="Times New Roman" w:hAnsi="Times New Roman" w:cs="Times New Roman"/>
        </w:rPr>
        <w:t xml:space="preserve"> документацією, </w:t>
      </w:r>
      <w:proofErr w:type="spellStart"/>
      <w:r>
        <w:rPr>
          <w:rFonts w:ascii="Times New Roman" w:eastAsia="Times New Roman" w:hAnsi="Times New Roman" w:cs="Times New Roman"/>
        </w:rPr>
        <w:t>міжсекторальної</w:t>
      </w:r>
      <w:proofErr w:type="spellEnd"/>
      <w:r>
        <w:rPr>
          <w:rFonts w:ascii="Times New Roman" w:eastAsia="Times New Roman" w:hAnsi="Times New Roman" w:cs="Times New Roman"/>
        </w:rPr>
        <w:t xml:space="preserve"> взаємодії </w:t>
      </w:r>
      <w:r>
        <w:rPr>
          <w:rFonts w:ascii="Times New Roman" w:eastAsia="Times New Roman" w:hAnsi="Times New Roman" w:cs="Times New Roman"/>
        </w:rPr>
        <w:t>тощо), що підтверджують підвищення кваліфікації у сфері звітності, моніторингу та аналітичної роботи.</w:t>
      </w:r>
    </w:p>
    <w:p w:rsidR="00551D0A" w:rsidRDefault="003074F6">
      <w:pPr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Зразки підготовлених матеріалів, які демонструють ваш досвід: приклади звітів (описових чи аналітичних), зведених таблиць, інфографіки, аналітичних довідо</w:t>
      </w:r>
      <w:r>
        <w:rPr>
          <w:rFonts w:ascii="Times New Roman" w:eastAsia="Times New Roman" w:hAnsi="Times New Roman" w:cs="Times New Roman"/>
        </w:rPr>
        <w:t>к тощо.</w:t>
      </w:r>
    </w:p>
    <w:p w:rsidR="00551D0A" w:rsidRDefault="003074F6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6" w:after="20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Підведення підсумків конкурсу</w:t>
      </w:r>
    </w:p>
    <w:p w:rsidR="00551D0A" w:rsidRDefault="003074F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Оцінювання тендерних пропозицій буде складатися на </w:t>
      </w:r>
      <w:r w:rsidR="00B232A2">
        <w:rPr>
          <w:rFonts w:ascii="Times New Roman" w:eastAsia="Times New Roman" w:hAnsi="Times New Roman" w:cs="Times New Roman"/>
          <w:color w:val="000000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0% з оцінки технічних пропозицій та на </w:t>
      </w:r>
      <w:r w:rsidR="00B232A2">
        <w:rPr>
          <w:rFonts w:ascii="Times New Roman" w:eastAsia="Times New Roman" w:hAnsi="Times New Roman" w:cs="Times New Roman"/>
          <w:color w:val="000000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</w:rPr>
        <w:t>0% з оцінки цінових пропозицій.</w:t>
      </w:r>
    </w:p>
    <w:p w:rsidR="00286BE9" w:rsidRDefault="00286BE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eastAsia="Times New Roman" w:hAnsi="Times New Roman" w:cs="Times New Roman"/>
          <w:color w:val="000000"/>
        </w:rPr>
      </w:pPr>
    </w:p>
    <w:p w:rsidR="00286BE9" w:rsidRDefault="00286BE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_GoBack"/>
      <w:bookmarkEnd w:id="5"/>
    </w:p>
    <w:p w:rsidR="00551D0A" w:rsidRDefault="00551D0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2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6"/>
        <w:gridCol w:w="139"/>
        <w:gridCol w:w="5541"/>
        <w:gridCol w:w="1583"/>
        <w:gridCol w:w="5937"/>
        <w:gridCol w:w="2375"/>
      </w:tblGrid>
      <w:tr w:rsidR="00B232A2" w:rsidRPr="00B232A2" w:rsidTr="00B232A2">
        <w:trPr>
          <w:trHeight w:val="20"/>
          <w:jc w:val="center"/>
        </w:trPr>
        <w:tc>
          <w:tcPr>
            <w:tcW w:w="5000" w:type="pct"/>
            <w:gridSpan w:val="6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РОЗУМІННЯ ТЕХНІЧНИХ ВИМОГ (Частина 2 тендеру RFP)</w:t>
            </w:r>
          </w:p>
        </w:tc>
      </w:tr>
      <w:tr w:rsidR="00B232A2" w:rsidRPr="00B232A2" w:rsidTr="00B232A2">
        <w:trPr>
          <w:trHeight w:val="506"/>
          <w:jc w:val="center"/>
        </w:trPr>
        <w:tc>
          <w:tcPr>
            <w:tcW w:w="81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pct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shd w:val="clear" w:color="auto" w:fill="DBE5F1"/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B232A2" w:rsidRPr="00B232A2" w:rsidTr="00B232A2">
        <w:trPr>
          <w:trHeight w:val="20"/>
          <w:jc w:val="center"/>
        </w:trPr>
        <w:tc>
          <w:tcPr>
            <w:tcW w:w="81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Виконавець повинен мати вищу освіту.</w:t>
            </w:r>
          </w:p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психології,менеджменту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5" w:type="pct"/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10 балів: Доктор наук (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Dr.hab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>8 балів: Кандидат наук (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>6 балів: Магістр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>4 бали: Спеціаліст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>2 бали: Бакалавр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232A2" w:rsidRPr="00B232A2" w:rsidTr="00B232A2">
        <w:trPr>
          <w:trHeight w:val="20"/>
          <w:jc w:val="center"/>
        </w:trPr>
        <w:tc>
          <w:tcPr>
            <w:tcW w:w="81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4" w:type="pct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методологій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5" w:type="pct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методологій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232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232A2" w:rsidRPr="00B232A2" w:rsidTr="00B232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B232A2" w:rsidRPr="00B232A2" w:rsidTr="00B232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B232A2" w:rsidRPr="00B232A2" w:rsidTr="00B232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5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16 балів: учасник надав зразки своєї роботи (методики проведення оцінки, звіти, приклади анкет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зворотнього</w:t>
            </w:r>
            <w:proofErr w:type="spellEnd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 зв’язку, матриця індикаторів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B232A2" w:rsidRPr="00B232A2" w:rsidTr="00B232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5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Учасник має досвід роботи в громадському секторі в якості фахівця з питань звітності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5 балів – учасник має досвід роботи в громадському секторі понад 3 роки в якості фахівця з питань звітності. </w:t>
            </w:r>
          </w:p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2 бали - учасник має досвід роботи в громадському секторі понад 1 рік в якості фахівця з питань звітності.</w:t>
            </w:r>
          </w:p>
          <w:p w:rsidR="00B232A2" w:rsidRPr="00B232A2" w:rsidRDefault="00B232A2" w:rsidP="00444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232A2" w:rsidRPr="00B232A2" w:rsidTr="00B232A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5" w:type="pct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232A2" w:rsidRPr="00B232A2" w:rsidRDefault="00B232A2" w:rsidP="00444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Учасник має досвід підготовки звіті за результатами </w:t>
            </w:r>
            <w:proofErr w:type="spellStart"/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5 балів - учасник має досвід підготовки комплексної звітності для міжнародних донорів </w:t>
            </w:r>
          </w:p>
          <w:p w:rsidR="00B232A2" w:rsidRPr="00B232A2" w:rsidRDefault="00B232A2" w:rsidP="00444F2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 xml:space="preserve">2 балів - учасник має досвід підготовки звітних документів для національних або регіональних програм, але не має досвіду розробки звітних документів для міжнародних донорів. </w:t>
            </w:r>
          </w:p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32A2" w:rsidRPr="00B232A2" w:rsidRDefault="00B232A2" w:rsidP="00444F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551D0A" w:rsidRDefault="00551D0A">
      <w:pPr>
        <w:spacing w:after="200"/>
        <w:jc w:val="both"/>
        <w:rPr>
          <w:rFonts w:ascii="Times New Roman" w:eastAsia="Times New Roman" w:hAnsi="Times New Roman" w:cs="Times New Roman"/>
        </w:rPr>
      </w:pPr>
    </w:p>
    <w:p w:rsidR="00551D0A" w:rsidRDefault="003074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З технічним завданням ознайомлений/а(-і),</w:t>
      </w:r>
    </w:p>
    <w:p w:rsidR="00551D0A" w:rsidRDefault="00551D0A">
      <w:pPr>
        <w:spacing w:after="0"/>
        <w:rPr>
          <w:rFonts w:ascii="Times New Roman" w:eastAsia="Times New Roman" w:hAnsi="Times New Roman" w:cs="Times New Roman"/>
          <w:color w:val="333333"/>
        </w:rPr>
      </w:pPr>
    </w:p>
    <w:tbl>
      <w:tblPr>
        <w:tblStyle w:val="af5"/>
        <w:tblW w:w="96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551D0A">
        <w:trPr>
          <w:trHeight w:val="312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ПІБ Учасника: ______________________________________________________</w:t>
            </w:r>
          </w:p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ПІБ Виконавця (-</w:t>
            </w:r>
            <w:proofErr w:type="spellStart"/>
            <w:r>
              <w:rPr>
                <w:rFonts w:ascii="Book Antiqua" w:eastAsia="Book Antiqua" w:hAnsi="Book Antiqua" w:cs="Book Antiqua"/>
              </w:rPr>
              <w:t>ів</w:t>
            </w:r>
            <w:proofErr w:type="spellEnd"/>
            <w:r>
              <w:rPr>
                <w:rFonts w:ascii="Book Antiqua" w:eastAsia="Book Antiqua" w:hAnsi="Book Antiqua" w:cs="Book Antiqua"/>
              </w:rPr>
              <w:t>)*: 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D0A">
        <w:trPr>
          <w:trHeight w:val="312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307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551D0A">
        <w:trPr>
          <w:trHeight w:val="312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D0A">
        <w:trPr>
          <w:trHeight w:val="312"/>
        </w:trPr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</w:tr>
      <w:tr w:rsidR="00551D0A">
        <w:trPr>
          <w:trHeight w:val="324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D0A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D0A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D0A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D0A" w:rsidRDefault="003074F6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1D0A" w:rsidRDefault="00551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1D0A" w:rsidRDefault="00551D0A">
      <w:bookmarkStart w:id="6" w:name="_heading=h.gjdgxs" w:colFirst="0" w:colLast="0"/>
      <w:bookmarkEnd w:id="6"/>
    </w:p>
    <w:sectPr w:rsidR="00551D0A" w:rsidSect="00B232A2">
      <w:headerReference w:type="default" r:id="rId8"/>
      <w:footerReference w:type="default" r:id="rId9"/>
      <w:footerReference w:type="first" r:id="rId10"/>
      <w:pgSz w:w="16838" w:h="11906" w:orient="landscape"/>
      <w:pgMar w:top="1418" w:right="851" w:bottom="851" w:left="851" w:header="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4F6" w:rsidRDefault="003074F6">
      <w:pPr>
        <w:spacing w:after="0" w:line="240" w:lineRule="auto"/>
      </w:pPr>
      <w:r>
        <w:separator/>
      </w:r>
    </w:p>
  </w:endnote>
  <w:endnote w:type="continuationSeparator" w:id="0">
    <w:p w:rsidR="003074F6" w:rsidRDefault="0030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0A" w:rsidRDefault="003074F6">
    <w:pPr>
      <w:jc w:val="right"/>
    </w:pP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instrText>PAGE</w:instrText>
    </w:r>
    <w:r w:rsidR="00B232A2">
      <w:rPr>
        <w:rFonts w:ascii="Times New Roman" w:eastAsia="Times New Roman" w:hAnsi="Times New Roman" w:cs="Times New Roman"/>
        <w:b/>
        <w:sz w:val="24"/>
        <w:szCs w:val="24"/>
        <w:highlight w:val="white"/>
      </w:rPr>
      <w:fldChar w:fldCharType="separate"/>
    </w:r>
    <w:r w:rsidR="00B232A2">
      <w:rPr>
        <w:rFonts w:ascii="Times New Roman" w:eastAsia="Times New Roman" w:hAnsi="Times New Roman" w:cs="Times New Roman"/>
        <w:b/>
        <w:noProof/>
        <w:sz w:val="24"/>
        <w:szCs w:val="24"/>
        <w:highlight w:val="white"/>
      </w:rPr>
      <w:t>1</w:t>
    </w:r>
    <w:r>
      <w:rPr>
        <w:rFonts w:ascii="Times New Roman" w:eastAsia="Times New Roman" w:hAnsi="Times New Roman" w:cs="Times New Roman"/>
        <w:b/>
        <w:sz w:val="24"/>
        <w:szCs w:val="24"/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0A" w:rsidRDefault="00551D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4F6" w:rsidRDefault="003074F6">
      <w:pPr>
        <w:spacing w:after="0" w:line="240" w:lineRule="auto"/>
      </w:pPr>
      <w:r>
        <w:separator/>
      </w:r>
    </w:p>
  </w:footnote>
  <w:footnote w:type="continuationSeparator" w:id="0">
    <w:p w:rsidR="003074F6" w:rsidRDefault="0030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0A" w:rsidRDefault="00551D0A">
    <w:pPr>
      <w:widowControl w:val="0"/>
      <w:spacing w:after="0" w:line="276" w:lineRule="auto"/>
    </w:pPr>
  </w:p>
  <w:p w:rsidR="00551D0A" w:rsidRDefault="003074F6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19050" distB="19050" distL="19050" distR="19050">
          <wp:extent cx="1999933" cy="690242"/>
          <wp:effectExtent l="0" t="0" r="0" b="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19050" distB="19050" distL="19050" distR="19050">
          <wp:extent cx="1199833" cy="750974"/>
          <wp:effectExtent l="0" t="0" r="0" b="0"/>
          <wp:docPr id="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0" distB="0" distL="114300" distR="114300">
          <wp:extent cx="1314133" cy="417185"/>
          <wp:effectExtent l="0" t="0" r="0" b="0"/>
          <wp:docPr id="15" name="image2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1D0A" w:rsidRDefault="00551D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25DE"/>
    <w:multiLevelType w:val="multilevel"/>
    <w:tmpl w:val="E594FCE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819A5"/>
    <w:multiLevelType w:val="multilevel"/>
    <w:tmpl w:val="01101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91B63"/>
    <w:multiLevelType w:val="multilevel"/>
    <w:tmpl w:val="C4A45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0A"/>
    <w:rsid w:val="00286BE9"/>
    <w:rsid w:val="003074F6"/>
    <w:rsid w:val="00551D0A"/>
    <w:rsid w:val="00B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34D1"/>
  <w15:docId w15:val="{7ADCBBD5-1DA4-4F63-B6CA-8631EE3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9A3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A3A78"/>
    <w:rPr>
      <w:rFonts w:ascii="Segoe UI" w:eastAsia="Calibri" w:hAnsi="Segoe UI" w:cs="Segoe UI"/>
      <w:sz w:val="18"/>
      <w:szCs w:val="18"/>
      <w:lang w:eastAsia="uk-UA"/>
    </w:r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Normal (Web)"/>
    <w:uiPriority w:val="99"/>
    <w:semiHidden/>
    <w:unhideWhenUsed/>
    <w:rsid w:val="0012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FD1F07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uiPriority w:val="34"/>
    <w:qFormat/>
    <w:rsid w:val="00D9308C"/>
    <w:pPr>
      <w:ind w:left="720"/>
      <w:contextualSpacing/>
    </w:p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98M6gRdW3Bi2agNv8mOz4cgWA==">CgMxLjAyDmguN2JnMWNuZmVtaDl1Mg5oLjVneGRhaWxxMzkxdTIJaC4zem55c2g3MgloLjJldDkycDAyCGgudHlqY3d0MgloLjFmb2I5dGUyCGguZ2pkZ3hzOAByITFDOHYzZTNqX0hLUEx4aEZIeDJGNHhXVnpsNjd2V2lrdg==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6338</Words>
  <Characters>3614</Characters>
  <Application>Microsoft Office Word</Application>
  <DocSecurity>0</DocSecurity>
  <Lines>30</Lines>
  <Paragraphs>19</Paragraphs>
  <ScaleCrop>false</ScaleCrop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2025-08-18T18:33:00Z</dcterms:created>
  <dcterms:modified xsi:type="dcterms:W3CDTF">2025-09-16T10:56:00Z</dcterms:modified>
</cp:coreProperties>
</file>