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5B8F4DF9"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317B68">
        <w:rPr>
          <w:rFonts w:ascii="Times New Roman" w:eastAsia="Times New Roman" w:hAnsi="Times New Roman" w:cs="Times New Roman"/>
          <w:b/>
          <w:sz w:val="24"/>
          <w:szCs w:val="24"/>
          <w:highlight w:val="white"/>
        </w:rPr>
        <w:t>01</w:t>
      </w:r>
      <w:r w:rsidRPr="008E4ACD">
        <w:rPr>
          <w:rFonts w:ascii="Times New Roman" w:eastAsia="Times New Roman" w:hAnsi="Times New Roman" w:cs="Times New Roman"/>
          <w:b/>
          <w:sz w:val="24"/>
          <w:szCs w:val="24"/>
          <w:highlight w:val="white"/>
        </w:rPr>
        <w:t>/</w:t>
      </w:r>
      <w:r w:rsidR="00317B68">
        <w:rPr>
          <w:rFonts w:ascii="Times New Roman" w:eastAsia="Times New Roman" w:hAnsi="Times New Roman" w:cs="Times New Roman"/>
          <w:b/>
          <w:sz w:val="24"/>
          <w:szCs w:val="24"/>
          <w:highlight w:val="white"/>
        </w:rPr>
        <w:t>10</w:t>
      </w:r>
      <w:r w:rsidRPr="008E4ACD">
        <w:rPr>
          <w:rFonts w:ascii="Times New Roman" w:eastAsia="Times New Roman" w:hAnsi="Times New Roman" w:cs="Times New Roman"/>
          <w:b/>
          <w:sz w:val="24"/>
          <w:szCs w:val="24"/>
          <w:highlight w:val="white"/>
        </w:rPr>
        <w:t>/</w:t>
      </w:r>
      <w:r w:rsidR="00FA12C6">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r w:rsidR="0002435E">
        <w:rPr>
          <w:rFonts w:ascii="Times New Roman" w:eastAsia="Times New Roman" w:hAnsi="Times New Roman" w:cs="Times New Roman"/>
          <w:b/>
          <w:sz w:val="24"/>
          <w:szCs w:val="24"/>
          <w:highlight w:val="white"/>
        </w:rPr>
        <w:t>/1</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4746C1E9"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ДОГОВОРУ(ів) </w:t>
      </w:r>
      <w:r w:rsidR="004D3FC4" w:rsidRPr="004D3FC4">
        <w:rPr>
          <w:rFonts w:ascii="Times New Roman" w:eastAsia="Times New Roman" w:hAnsi="Times New Roman" w:cs="Times New Roman"/>
          <w:b/>
          <w:sz w:val="24"/>
          <w:szCs w:val="24"/>
        </w:rPr>
        <w:t xml:space="preserve">НА ПОСЛУГИ МЕНТОРСЬКОГО СУПРОВОДУ КОМАНД ОРГАНІЗАЦІЙ ГРОМАДЯНСЬКОГО СУСПІЛЬСТВА В СУМСЬКІЙ, ХАРКІВСЬКІЙ, ДНІПРОПЕТРОВСЬКІЙ, КИЇВСЬКІЙ ОБЛАСТЯХ  </w:t>
      </w:r>
      <w:r w:rsidR="004D3FC4">
        <w:rPr>
          <w:rFonts w:ascii="Times New Roman" w:eastAsia="Times New Roman" w:hAnsi="Times New Roman" w:cs="Times New Roman"/>
          <w:b/>
          <w:sz w:val="24"/>
          <w:szCs w:val="24"/>
        </w:rPr>
        <w:t xml:space="preserve">                               </w:t>
      </w:r>
      <w:r w:rsidR="00317B68" w:rsidRPr="00317B68">
        <w:rPr>
          <w:rFonts w:ascii="Times New Roman" w:eastAsia="Times New Roman" w:hAnsi="Times New Roman" w:cs="Times New Roman"/>
          <w:b/>
          <w:sz w:val="24"/>
          <w:szCs w:val="24"/>
        </w:rPr>
        <w:t xml:space="preserve">В РАМКАХ ПРОЄКТУ GIZ EMPOWER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0" w:name="_heading=h.gjdgxs" w:colFirst="0" w:colLast="0"/>
      <w:bookmarkStart w:id="1" w:name="_GoBack"/>
      <w:bookmarkEnd w:id="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5A103" w14:textId="77777777" w:rsidR="00347842" w:rsidRDefault="00347842">
      <w:pPr>
        <w:spacing w:after="0" w:line="240" w:lineRule="auto"/>
      </w:pPr>
      <w:r>
        <w:separator/>
      </w:r>
    </w:p>
  </w:endnote>
  <w:endnote w:type="continuationSeparator" w:id="0">
    <w:p w14:paraId="5DF7BF44" w14:textId="77777777" w:rsidR="00347842" w:rsidRDefault="0034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E85E4" w14:textId="77777777" w:rsidR="00347842" w:rsidRDefault="00347842">
      <w:pPr>
        <w:spacing w:after="0" w:line="240" w:lineRule="auto"/>
      </w:pPr>
      <w:r>
        <w:separator/>
      </w:r>
    </w:p>
  </w:footnote>
  <w:footnote w:type="continuationSeparator" w:id="0">
    <w:p w14:paraId="7BD1BD95" w14:textId="77777777" w:rsidR="00347842" w:rsidRDefault="0034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02435E"/>
    <w:rsid w:val="001345D1"/>
    <w:rsid w:val="00251213"/>
    <w:rsid w:val="00317B68"/>
    <w:rsid w:val="00347842"/>
    <w:rsid w:val="00441DBC"/>
    <w:rsid w:val="004B1B81"/>
    <w:rsid w:val="004D3FC4"/>
    <w:rsid w:val="00600A99"/>
    <w:rsid w:val="00622097"/>
    <w:rsid w:val="006D43BA"/>
    <w:rsid w:val="00703977"/>
    <w:rsid w:val="007263DD"/>
    <w:rsid w:val="00773473"/>
    <w:rsid w:val="007A741E"/>
    <w:rsid w:val="007C5DF8"/>
    <w:rsid w:val="00812132"/>
    <w:rsid w:val="008B111B"/>
    <w:rsid w:val="00984265"/>
    <w:rsid w:val="00A27DBB"/>
    <w:rsid w:val="00A349E1"/>
    <w:rsid w:val="00A543E1"/>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13143</Words>
  <Characters>7492</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2024-08-05T16:43:00Z</dcterms:created>
  <dcterms:modified xsi:type="dcterms:W3CDTF">2025-10-01T11:37:00Z</dcterms:modified>
</cp:coreProperties>
</file>