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C4F5" w14:textId="0140133A" w:rsidR="00E5712D" w:rsidRDefault="00037AE2">
      <w:pPr>
        <w:rPr>
          <w:rFonts w:ascii="Times New Roman" w:hAnsi="Times New Roman" w:cs="Times New Roman"/>
          <w:b/>
          <w:noProof/>
        </w:rPr>
      </w:pPr>
      <w:r>
        <w:rPr>
          <w:rFonts w:ascii="Courier New" w:eastAsia="Batang" w:hAnsi="Courier New" w:cs="Courier New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22E512C" wp14:editId="0921BF2A">
            <wp:simplePos x="0" y="0"/>
            <wp:positionH relativeFrom="column">
              <wp:posOffset>-876300</wp:posOffset>
            </wp:positionH>
            <wp:positionV relativeFrom="paragraph">
              <wp:posOffset>-600710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C013F" w14:textId="09253E8F" w:rsidR="00037AE2" w:rsidRDefault="00037AE2">
      <w:pPr>
        <w:rPr>
          <w:rFonts w:ascii="Times New Roman" w:hAnsi="Times New Roman" w:cs="Times New Roman"/>
        </w:rPr>
      </w:pPr>
    </w:p>
    <w:p w14:paraId="74DDA327" w14:textId="75C8F9A3" w:rsidR="00037AE2" w:rsidRDefault="00037AE2">
      <w:pPr>
        <w:rPr>
          <w:rFonts w:ascii="Times New Roman" w:hAnsi="Times New Roman" w:cs="Times New Roman"/>
        </w:rPr>
      </w:pPr>
    </w:p>
    <w:p w14:paraId="3A1DE6C4" w14:textId="282AAD1E" w:rsidR="00037AE2" w:rsidRDefault="00037AE2">
      <w:pPr>
        <w:rPr>
          <w:rFonts w:ascii="Times New Roman" w:hAnsi="Times New Roman" w:cs="Times New Roman"/>
        </w:rPr>
      </w:pPr>
    </w:p>
    <w:p w14:paraId="02D6B08F" w14:textId="77777777" w:rsidR="00037AE2" w:rsidRPr="000528AC" w:rsidRDefault="00037AE2">
      <w:pPr>
        <w:rPr>
          <w:rFonts w:ascii="Times New Roman" w:hAnsi="Times New Roman" w:cs="Times New Roman"/>
        </w:rPr>
      </w:pPr>
    </w:p>
    <w:tbl>
      <w:tblPr>
        <w:tblStyle w:val="a7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33"/>
      </w:tblGrid>
      <w:tr w:rsidR="00417616" w:rsidRPr="00E20EB8" w14:paraId="3E46E39E" w14:textId="0E033EC6" w:rsidTr="00E20EB8">
        <w:tc>
          <w:tcPr>
            <w:tcW w:w="4820" w:type="dxa"/>
          </w:tcPr>
          <w:p w14:paraId="5B720E23" w14:textId="30AECB4D" w:rsidR="00417616" w:rsidRPr="00E20EB8" w:rsidRDefault="00417616" w:rsidP="004176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AWO </w:t>
            </w:r>
            <w:r w:rsidR="002E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BMZ</w:t>
            </w: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Project</w:t>
            </w:r>
          </w:p>
          <w:p w14:paraId="41952962" w14:textId="77777777" w:rsidR="00417616" w:rsidRPr="00E20EB8" w:rsidRDefault="00417616" w:rsidP="004176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61782F" w14:textId="48254C48" w:rsidR="00417616" w:rsidRPr="002E5694" w:rsidRDefault="00417616" w:rsidP="004176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Annex 1 to RFP </w:t>
            </w:r>
            <w:r w:rsidR="00A53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A53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A53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2E56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74662974" w14:textId="77777777" w:rsidR="00417616" w:rsidRPr="00E20EB8" w:rsidRDefault="00417616" w:rsidP="004176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Terms of Reference and Service Overview</w:t>
            </w:r>
          </w:p>
          <w:p w14:paraId="5C78EBC1" w14:textId="77777777" w:rsidR="00417616" w:rsidRPr="00E20EB8" w:rsidRDefault="00417616" w:rsidP="004176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en-US"/>
              </w:rPr>
            </w:pPr>
          </w:p>
          <w:p w14:paraId="5100E397" w14:textId="3204E651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r w:rsidRPr="00A534D3">
              <w:rPr>
                <w:b/>
                <w:bCs/>
                <w:sz w:val="20"/>
                <w:szCs w:val="20"/>
              </w:rPr>
              <w:t>1. MAIN TASKS</w:t>
            </w:r>
          </w:p>
          <w:p w14:paraId="2A280028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related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goods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material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assets</w:t>
            </w:r>
            <w:proofErr w:type="spellEnd"/>
            <w:r w:rsidRPr="00A534D3">
              <w:rPr>
                <w:sz w:val="20"/>
                <w:szCs w:val="20"/>
              </w:rPr>
              <w:t xml:space="preserve"> (</w:t>
            </w:r>
            <w:proofErr w:type="spellStart"/>
            <w:r w:rsidRPr="00A534D3">
              <w:rPr>
                <w:sz w:val="20"/>
                <w:szCs w:val="20"/>
              </w:rPr>
              <w:t>hereinafter</w:t>
            </w:r>
            <w:proofErr w:type="spellEnd"/>
            <w:r w:rsidRPr="00A534D3">
              <w:rPr>
                <w:sz w:val="20"/>
                <w:szCs w:val="20"/>
              </w:rPr>
              <w:t xml:space="preserve"> – GMA) </w:t>
            </w:r>
            <w:proofErr w:type="spellStart"/>
            <w:r w:rsidRPr="00A534D3">
              <w:rPr>
                <w:sz w:val="20"/>
                <w:szCs w:val="20"/>
              </w:rPr>
              <w:t>using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personal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passenger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 (</w:t>
            </w:r>
            <w:proofErr w:type="spellStart"/>
            <w:r w:rsidRPr="00A534D3">
              <w:rPr>
                <w:sz w:val="20"/>
                <w:szCs w:val="20"/>
              </w:rPr>
              <w:t>hereinafter</w:t>
            </w:r>
            <w:proofErr w:type="spellEnd"/>
            <w:r w:rsidRPr="00A534D3">
              <w:rPr>
                <w:sz w:val="20"/>
                <w:szCs w:val="20"/>
              </w:rPr>
              <w:t xml:space="preserve"> –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)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own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means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>/</w:t>
            </w:r>
            <w:proofErr w:type="spellStart"/>
            <w:r w:rsidRPr="00A534D3">
              <w:rPr>
                <w:sz w:val="20"/>
                <w:szCs w:val="20"/>
              </w:rPr>
              <w:t>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involvement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third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parties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upon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prior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agreement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which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includes</w:t>
            </w:r>
            <w:proofErr w:type="spellEnd"/>
            <w:r w:rsidRPr="00A534D3">
              <w:rPr>
                <w:sz w:val="20"/>
                <w:szCs w:val="20"/>
              </w:rPr>
              <w:t>:</w:t>
            </w:r>
          </w:p>
          <w:p w14:paraId="5B9AD260" w14:textId="77777777" w:rsidR="00A534D3" w:rsidRPr="00A534D3" w:rsidRDefault="00A534D3" w:rsidP="00A534D3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Uninterrupted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a </w:t>
            </w:r>
            <w:proofErr w:type="spellStart"/>
            <w:r w:rsidRPr="00A534D3">
              <w:rPr>
                <w:sz w:val="20"/>
                <w:szCs w:val="20"/>
              </w:rPr>
              <w:t>motor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accordance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terms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Agreement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5D859087" w14:textId="77777777" w:rsidR="00A534D3" w:rsidRPr="00A534D3" w:rsidRDefault="00A534D3" w:rsidP="00A534D3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a </w:t>
            </w:r>
            <w:proofErr w:type="spellStart"/>
            <w:r w:rsidRPr="00A534D3">
              <w:rPr>
                <w:sz w:val="20"/>
                <w:szCs w:val="20"/>
              </w:rPr>
              <w:t>technically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sound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motor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68067B35" w14:textId="77777777" w:rsidR="00A534D3" w:rsidRPr="00A534D3" w:rsidRDefault="00A534D3" w:rsidP="00A534D3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Ensuring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timely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delivery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GMAs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final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destination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according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accompanying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documents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5BB19D3C" w14:textId="77777777" w:rsidR="00A534D3" w:rsidRPr="00A534D3" w:rsidRDefault="00A534D3" w:rsidP="00A534D3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Ensuring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preparation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additional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equipment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accordance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requirements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regulatory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legal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acts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concerning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activities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corresponding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type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47E9DFBD" w14:textId="77777777" w:rsidR="00A534D3" w:rsidRPr="00A534D3" w:rsidRDefault="00A534D3" w:rsidP="00A534D3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Performance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other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obligations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other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accompanying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GMAs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which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stipulated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Agreement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not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contradict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current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legislation</w:t>
            </w:r>
            <w:proofErr w:type="spellEnd"/>
            <w:r w:rsidRPr="00A534D3">
              <w:rPr>
                <w:sz w:val="20"/>
                <w:szCs w:val="20"/>
              </w:rPr>
              <w:t>.</w:t>
            </w:r>
          </w:p>
          <w:p w14:paraId="72392070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anticipated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unstandardized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schedule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mainly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city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Mykolaiv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region</w:t>
            </w:r>
            <w:proofErr w:type="spellEnd"/>
            <w:r w:rsidRPr="00A534D3">
              <w:rPr>
                <w:sz w:val="20"/>
                <w:szCs w:val="20"/>
              </w:rPr>
              <w:t xml:space="preserve">. </w:t>
            </w:r>
            <w:proofErr w:type="spellStart"/>
            <w:r w:rsidRPr="00A534D3">
              <w:rPr>
                <w:sz w:val="20"/>
                <w:szCs w:val="20"/>
              </w:rPr>
              <w:t>Business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trips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within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territory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Ukraine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possible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upon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request</w:t>
            </w:r>
            <w:proofErr w:type="spellEnd"/>
            <w:r w:rsidRPr="00A534D3">
              <w:rPr>
                <w:sz w:val="20"/>
                <w:szCs w:val="20"/>
              </w:rPr>
              <w:t xml:space="preserve">. 380 </w:t>
            </w:r>
            <w:proofErr w:type="spellStart"/>
            <w:r w:rsidRPr="00A534D3">
              <w:rPr>
                <w:sz w:val="20"/>
                <w:szCs w:val="20"/>
              </w:rPr>
              <w:t>working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hours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anticipated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until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December</w:t>
            </w:r>
            <w:proofErr w:type="spellEnd"/>
            <w:r w:rsidRPr="00A534D3">
              <w:rPr>
                <w:sz w:val="20"/>
                <w:szCs w:val="20"/>
              </w:rPr>
              <w:t xml:space="preserve"> 31, 2025: </w:t>
            </w:r>
            <w:proofErr w:type="spellStart"/>
            <w:r w:rsidRPr="00A534D3">
              <w:rPr>
                <w:sz w:val="20"/>
                <w:szCs w:val="20"/>
              </w:rPr>
              <w:t>Estimated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daily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mileage</w:t>
            </w:r>
            <w:proofErr w:type="spellEnd"/>
            <w:r w:rsidRPr="00A534D3">
              <w:rPr>
                <w:sz w:val="20"/>
                <w:szCs w:val="20"/>
              </w:rPr>
              <w:t xml:space="preserve"> – </w:t>
            </w:r>
            <w:proofErr w:type="spellStart"/>
            <w:r w:rsidRPr="00A534D3">
              <w:rPr>
                <w:sz w:val="20"/>
                <w:szCs w:val="20"/>
              </w:rPr>
              <w:t>varies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depending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route</w:t>
            </w:r>
            <w:proofErr w:type="spellEnd"/>
            <w:r w:rsidRPr="00A534D3">
              <w:rPr>
                <w:sz w:val="20"/>
                <w:szCs w:val="20"/>
              </w:rPr>
              <w:t xml:space="preserve">: </w:t>
            </w:r>
            <w:proofErr w:type="spellStart"/>
            <w:r w:rsidRPr="00A534D3">
              <w:rPr>
                <w:sz w:val="20"/>
                <w:szCs w:val="20"/>
              </w:rPr>
              <w:t>from</w:t>
            </w:r>
            <w:proofErr w:type="spellEnd"/>
            <w:r w:rsidRPr="00A534D3">
              <w:rPr>
                <w:sz w:val="20"/>
                <w:szCs w:val="20"/>
              </w:rPr>
              <w:t xml:space="preserve"> 100 </w:t>
            </w:r>
            <w:proofErr w:type="spellStart"/>
            <w:r w:rsidRPr="00A534D3">
              <w:rPr>
                <w:sz w:val="20"/>
                <w:szCs w:val="20"/>
              </w:rPr>
              <w:t>km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400 </w:t>
            </w:r>
            <w:proofErr w:type="spellStart"/>
            <w:r w:rsidRPr="00A534D3">
              <w:rPr>
                <w:sz w:val="20"/>
                <w:szCs w:val="20"/>
              </w:rPr>
              <w:t>km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day</w:t>
            </w:r>
            <w:proofErr w:type="spellEnd"/>
            <w:r w:rsidRPr="00A534D3">
              <w:rPr>
                <w:sz w:val="20"/>
                <w:szCs w:val="20"/>
              </w:rPr>
              <w:t xml:space="preserve">; </w:t>
            </w:r>
            <w:proofErr w:type="spellStart"/>
            <w:r w:rsidRPr="00A534D3">
              <w:rPr>
                <w:sz w:val="20"/>
                <w:szCs w:val="20"/>
              </w:rPr>
              <w:t>Average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number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working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days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month</w:t>
            </w:r>
            <w:proofErr w:type="spellEnd"/>
            <w:r w:rsidRPr="00A534D3">
              <w:rPr>
                <w:sz w:val="20"/>
                <w:szCs w:val="20"/>
              </w:rPr>
              <w:t xml:space="preserve"> – 20; </w:t>
            </w:r>
            <w:proofErr w:type="spellStart"/>
            <w:r w:rsidRPr="00A534D3">
              <w:rPr>
                <w:sz w:val="20"/>
                <w:szCs w:val="20"/>
              </w:rPr>
              <w:t>Estimated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number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working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hours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day</w:t>
            </w:r>
            <w:proofErr w:type="spellEnd"/>
            <w:r w:rsidRPr="00A534D3">
              <w:rPr>
                <w:sz w:val="20"/>
                <w:szCs w:val="20"/>
              </w:rPr>
              <w:t xml:space="preserve"> – 8.</w:t>
            </w:r>
          </w:p>
          <w:p w14:paraId="149E4D2B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must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provided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daily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working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days</w:t>
            </w:r>
            <w:proofErr w:type="spellEnd"/>
            <w:r w:rsidRPr="00A534D3">
              <w:rPr>
                <w:sz w:val="20"/>
                <w:szCs w:val="20"/>
              </w:rPr>
              <w:t xml:space="preserve"> (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necessary</w:t>
            </w:r>
            <w:proofErr w:type="spellEnd"/>
            <w:r w:rsidRPr="00A534D3">
              <w:rPr>
                <w:sz w:val="20"/>
                <w:szCs w:val="20"/>
              </w:rPr>
              <w:t xml:space="preserve"> – </w:t>
            </w:r>
            <w:proofErr w:type="spellStart"/>
            <w:r w:rsidRPr="00A534D3">
              <w:rPr>
                <w:sz w:val="20"/>
                <w:szCs w:val="20"/>
              </w:rPr>
              <w:t>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weekends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public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holidays</w:t>
            </w:r>
            <w:proofErr w:type="spellEnd"/>
            <w:r w:rsidRPr="00A534D3">
              <w:rPr>
                <w:sz w:val="20"/>
                <w:szCs w:val="20"/>
              </w:rPr>
              <w:t xml:space="preserve">). </w:t>
            </w:r>
            <w:proofErr w:type="spellStart"/>
            <w:r w:rsidRPr="00A534D3">
              <w:rPr>
                <w:sz w:val="20"/>
                <w:szCs w:val="20"/>
              </w:rPr>
              <w:t>Acceptance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conducted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based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their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completeness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quality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scope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quantity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well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timely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>.</w:t>
            </w:r>
          </w:p>
          <w:p w14:paraId="1803346E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bears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costs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associated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fueling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fuel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lubricants</w:t>
            </w:r>
            <w:proofErr w:type="spellEnd"/>
            <w:r w:rsidRPr="00A534D3">
              <w:rPr>
                <w:sz w:val="20"/>
                <w:szCs w:val="20"/>
              </w:rPr>
              <w:t xml:space="preserve">. </w:t>
            </w:r>
            <w:proofErr w:type="spellStart"/>
            <w:r w:rsidRPr="00A534D3">
              <w:rPr>
                <w:sz w:val="20"/>
                <w:szCs w:val="20"/>
              </w:rPr>
              <w:t>Such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costs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lastRenderedPageBreak/>
              <w:t>are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not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considered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payment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provided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>.</w:t>
            </w:r>
          </w:p>
          <w:p w14:paraId="4DFF1037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must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ensure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including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but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not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limited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following</w:t>
            </w:r>
            <w:proofErr w:type="spellEnd"/>
            <w:r w:rsidRPr="00A534D3">
              <w:rPr>
                <w:sz w:val="20"/>
                <w:szCs w:val="20"/>
              </w:rPr>
              <w:t>:</w:t>
            </w:r>
          </w:p>
          <w:p w14:paraId="4D1DE6EB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Comprehensive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organization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0F30B684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Timely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delivery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proper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technical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sanitary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condition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safe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comfortable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travel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passengers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5AD6A411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Before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departs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a </w:t>
            </w:r>
            <w:proofErr w:type="spellStart"/>
            <w:r w:rsidRPr="00A534D3">
              <w:rPr>
                <w:sz w:val="20"/>
                <w:szCs w:val="20"/>
              </w:rPr>
              <w:t>trip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conducting</w:t>
            </w:r>
            <w:proofErr w:type="spellEnd"/>
            <w:r w:rsidRPr="00A534D3">
              <w:rPr>
                <w:sz w:val="20"/>
                <w:szCs w:val="20"/>
              </w:rPr>
              <w:t xml:space="preserve"> a </w:t>
            </w:r>
            <w:proofErr w:type="spellStart"/>
            <w:r w:rsidRPr="00A534D3">
              <w:rPr>
                <w:sz w:val="20"/>
                <w:szCs w:val="20"/>
              </w:rPr>
              <w:t>daily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technical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inspection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necessary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refueling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fuel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lubricants</w:t>
            </w:r>
            <w:proofErr w:type="spellEnd"/>
            <w:r w:rsidRPr="00A534D3">
              <w:rPr>
                <w:sz w:val="20"/>
                <w:szCs w:val="20"/>
              </w:rPr>
              <w:t xml:space="preserve"> (</w:t>
            </w:r>
            <w:proofErr w:type="spellStart"/>
            <w:r w:rsidRPr="00A534D3">
              <w:rPr>
                <w:sz w:val="20"/>
                <w:szCs w:val="20"/>
              </w:rPr>
              <w:t>vouchers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fuel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cards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stations</w:t>
            </w:r>
            <w:proofErr w:type="spellEnd"/>
            <w:r w:rsidRPr="00A534D3">
              <w:rPr>
                <w:sz w:val="20"/>
                <w:szCs w:val="20"/>
              </w:rPr>
              <w:t xml:space="preserve">), </w:t>
            </w:r>
            <w:proofErr w:type="spellStart"/>
            <w:r w:rsidRPr="00A534D3">
              <w:rPr>
                <w:sz w:val="20"/>
                <w:szCs w:val="20"/>
              </w:rPr>
              <w:t>which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driver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receives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from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maintaining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Customer’s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</w:t>
            </w:r>
            <w:proofErr w:type="spellEnd"/>
            <w:r w:rsidRPr="00A534D3">
              <w:rPr>
                <w:sz w:val="20"/>
                <w:szCs w:val="20"/>
              </w:rPr>
              <w:t xml:space="preserve"> a </w:t>
            </w:r>
            <w:proofErr w:type="spellStart"/>
            <w:r w:rsidRPr="00A534D3">
              <w:rPr>
                <w:sz w:val="20"/>
                <w:szCs w:val="20"/>
              </w:rPr>
              <w:t>technically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sound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sanitary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condition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77611044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Adherence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internal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instructions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61B9F6B7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Constant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monitoring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quality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completeness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363AA79E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Implementation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measures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ensure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compliance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Traffic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Rules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033D29C6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Maintaining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cleanliness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tidiness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Vehicle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5C784E72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Strict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adherence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driver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established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rules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internal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regulations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safety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fire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safety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rules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norms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well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all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requirements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standards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defined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regulatory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legal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acts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Ukraine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that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regulate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such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0E664A21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Taking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measures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aimed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preventing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violations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Traffic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Rules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public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order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internal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regulations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05368EE3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Prevention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illegal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behavior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1914451A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Immediate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informing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about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road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traffic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accidents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personal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injuries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thefts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other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extraordinary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situations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that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occurred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during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provision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>;</w:t>
            </w:r>
          </w:p>
          <w:p w14:paraId="39ABB77C" w14:textId="77777777" w:rsidR="00A534D3" w:rsidRPr="00A534D3" w:rsidRDefault="00A534D3" w:rsidP="00A534D3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Immediate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written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informing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about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all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circumstances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preventing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from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fulfilling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obligations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well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possible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situations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that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make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timely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execution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delivery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GMAs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impossible</w:t>
            </w:r>
            <w:proofErr w:type="spellEnd"/>
            <w:r w:rsidRPr="00A534D3">
              <w:rPr>
                <w:sz w:val="20"/>
                <w:szCs w:val="20"/>
              </w:rPr>
              <w:t>.</w:t>
            </w:r>
          </w:p>
          <w:p w14:paraId="0BAADD00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bears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full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material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liability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damages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caused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as</w:t>
            </w:r>
            <w:proofErr w:type="spellEnd"/>
            <w:r w:rsidRPr="00A534D3">
              <w:rPr>
                <w:sz w:val="20"/>
                <w:szCs w:val="20"/>
              </w:rPr>
              <w:t xml:space="preserve"> a </w:t>
            </w:r>
            <w:proofErr w:type="spellStart"/>
            <w:r w:rsidRPr="00A534D3">
              <w:rPr>
                <w:sz w:val="20"/>
                <w:szCs w:val="20"/>
              </w:rPr>
              <w:t>result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improper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performance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obligations</w:t>
            </w:r>
            <w:proofErr w:type="spellEnd"/>
            <w:r w:rsidRPr="00A534D3">
              <w:rPr>
                <w:sz w:val="20"/>
                <w:szCs w:val="20"/>
              </w:rPr>
              <w:t xml:space="preserve">.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terms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GMAs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including</w:t>
            </w:r>
            <w:proofErr w:type="spellEnd"/>
            <w:r w:rsidRPr="00A534D3">
              <w:rPr>
                <w:sz w:val="20"/>
                <w:szCs w:val="20"/>
              </w:rPr>
              <w:t xml:space="preserve">: 1) </w:t>
            </w:r>
            <w:proofErr w:type="spellStart"/>
            <w:r w:rsidRPr="00A534D3">
              <w:rPr>
                <w:sz w:val="20"/>
                <w:szCs w:val="20"/>
              </w:rPr>
              <w:t>type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name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quantity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GMAs</w:t>
            </w:r>
            <w:proofErr w:type="spellEnd"/>
            <w:r w:rsidRPr="00A534D3">
              <w:rPr>
                <w:sz w:val="20"/>
                <w:szCs w:val="20"/>
              </w:rPr>
              <w:t xml:space="preserve">; 2) </w:t>
            </w:r>
            <w:proofErr w:type="spellStart"/>
            <w:r w:rsidRPr="00A534D3">
              <w:rPr>
                <w:sz w:val="20"/>
                <w:szCs w:val="20"/>
              </w:rPr>
              <w:t>point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departure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point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destination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GMAs</w:t>
            </w:r>
            <w:proofErr w:type="spellEnd"/>
            <w:r w:rsidRPr="00A534D3">
              <w:rPr>
                <w:sz w:val="20"/>
                <w:szCs w:val="20"/>
              </w:rPr>
              <w:t xml:space="preserve">; 3) </w:t>
            </w:r>
            <w:proofErr w:type="spellStart"/>
            <w:r w:rsidRPr="00A534D3">
              <w:rPr>
                <w:sz w:val="20"/>
                <w:szCs w:val="20"/>
              </w:rPr>
              <w:t>name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recipient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GMAs</w:t>
            </w:r>
            <w:proofErr w:type="spellEnd"/>
            <w:r w:rsidRPr="00A534D3">
              <w:rPr>
                <w:sz w:val="20"/>
                <w:szCs w:val="20"/>
              </w:rPr>
              <w:t xml:space="preserve">; 4)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period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during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which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carried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out</w:t>
            </w:r>
            <w:proofErr w:type="spellEnd"/>
            <w:r w:rsidRPr="00A534D3">
              <w:rPr>
                <w:sz w:val="20"/>
                <w:szCs w:val="20"/>
              </w:rPr>
              <w:t xml:space="preserve">; 5) </w:t>
            </w:r>
            <w:proofErr w:type="spellStart"/>
            <w:r w:rsidRPr="00A534D3">
              <w:rPr>
                <w:sz w:val="20"/>
                <w:szCs w:val="20"/>
              </w:rPr>
              <w:t>other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necessary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information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determined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Requests</w:t>
            </w:r>
            <w:proofErr w:type="spellEnd"/>
            <w:r w:rsidRPr="00A534D3">
              <w:rPr>
                <w:sz w:val="20"/>
                <w:szCs w:val="20"/>
              </w:rPr>
              <w:t xml:space="preserve">.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Request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provided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orally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writing</w:t>
            </w:r>
            <w:proofErr w:type="spellEnd"/>
            <w:r w:rsidRPr="00A534D3">
              <w:rPr>
                <w:sz w:val="20"/>
                <w:szCs w:val="20"/>
              </w:rPr>
              <w:t>.</w:t>
            </w:r>
          </w:p>
          <w:p w14:paraId="34ED1162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r w:rsidRPr="00A534D3">
              <w:rPr>
                <w:b/>
                <w:bCs/>
                <w:sz w:val="20"/>
                <w:szCs w:val="20"/>
              </w:rPr>
              <w:t>2. PAYMENT TERMS AND SETTLEMENT PROCEDURE</w:t>
            </w:r>
          </w:p>
          <w:p w14:paraId="05C0A1EA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lastRenderedPageBreak/>
              <w:t>Payment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cost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made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based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number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hours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spent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providing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transportation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GMAs</w:t>
            </w:r>
            <w:proofErr w:type="spellEnd"/>
            <w:r w:rsidRPr="00A534D3">
              <w:rPr>
                <w:sz w:val="20"/>
                <w:szCs w:val="20"/>
              </w:rPr>
              <w:t xml:space="preserve">. </w:t>
            </w:r>
            <w:proofErr w:type="spellStart"/>
            <w:r w:rsidRPr="00A534D3">
              <w:rPr>
                <w:sz w:val="20"/>
                <w:szCs w:val="20"/>
              </w:rPr>
              <w:t>Settlement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provided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made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after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performed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no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later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than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10th (</w:t>
            </w:r>
            <w:proofErr w:type="spellStart"/>
            <w:r w:rsidRPr="00A534D3">
              <w:rPr>
                <w:sz w:val="20"/>
                <w:szCs w:val="20"/>
              </w:rPr>
              <w:t>tenth</w:t>
            </w:r>
            <w:proofErr w:type="spellEnd"/>
            <w:r w:rsidRPr="00A534D3">
              <w:rPr>
                <w:sz w:val="20"/>
                <w:szCs w:val="20"/>
              </w:rPr>
              <w:t xml:space="preserve">) </w:t>
            </w:r>
            <w:proofErr w:type="spellStart"/>
            <w:r w:rsidRPr="00A534D3">
              <w:rPr>
                <w:sz w:val="20"/>
                <w:szCs w:val="20"/>
              </w:rPr>
              <w:t>day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each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subsequent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month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non-cash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form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payment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order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Contractor's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current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account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based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Acceptance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Transfer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Rendered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signed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parties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invoice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issued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.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provides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Acceptance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Transfer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Rendered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which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signed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within</w:t>
            </w:r>
            <w:proofErr w:type="spellEnd"/>
            <w:r w:rsidRPr="00A534D3">
              <w:rPr>
                <w:sz w:val="20"/>
                <w:szCs w:val="20"/>
              </w:rPr>
              <w:t xml:space="preserve"> 3 (</w:t>
            </w:r>
            <w:proofErr w:type="spellStart"/>
            <w:r w:rsidRPr="00A534D3">
              <w:rPr>
                <w:sz w:val="20"/>
                <w:szCs w:val="20"/>
              </w:rPr>
              <w:t>three</w:t>
            </w:r>
            <w:proofErr w:type="spellEnd"/>
            <w:r w:rsidRPr="00A534D3">
              <w:rPr>
                <w:sz w:val="20"/>
                <w:szCs w:val="20"/>
              </w:rPr>
              <w:t xml:space="preserve">) </w:t>
            </w:r>
            <w:proofErr w:type="spellStart"/>
            <w:r w:rsidRPr="00A534D3">
              <w:rPr>
                <w:sz w:val="20"/>
                <w:szCs w:val="20"/>
              </w:rPr>
              <w:t>working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days</w:t>
            </w:r>
            <w:proofErr w:type="spellEnd"/>
            <w:r w:rsidRPr="00A534D3">
              <w:rPr>
                <w:sz w:val="20"/>
                <w:szCs w:val="20"/>
              </w:rPr>
              <w:t xml:space="preserve">.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Acceptance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Transfer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Rendered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considered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signed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if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within</w:t>
            </w:r>
            <w:proofErr w:type="spellEnd"/>
            <w:r w:rsidRPr="00A534D3">
              <w:rPr>
                <w:sz w:val="20"/>
                <w:szCs w:val="20"/>
              </w:rPr>
              <w:t xml:space="preserve"> 15 (</w:t>
            </w:r>
            <w:proofErr w:type="spellStart"/>
            <w:r w:rsidRPr="00A534D3">
              <w:rPr>
                <w:sz w:val="20"/>
                <w:szCs w:val="20"/>
              </w:rPr>
              <w:t>fifteen</w:t>
            </w:r>
            <w:proofErr w:type="spellEnd"/>
            <w:r w:rsidRPr="00A534D3">
              <w:rPr>
                <w:sz w:val="20"/>
                <w:szCs w:val="20"/>
              </w:rPr>
              <w:t xml:space="preserve">) </w:t>
            </w:r>
            <w:proofErr w:type="spellStart"/>
            <w:r w:rsidRPr="00A534D3">
              <w:rPr>
                <w:sz w:val="20"/>
                <w:szCs w:val="20"/>
              </w:rPr>
              <w:t>working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days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from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moment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its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receipt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Customer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latter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does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not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provide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Contractor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with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written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reasoned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objections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to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act</w:t>
            </w:r>
            <w:proofErr w:type="spellEnd"/>
            <w:r w:rsidRPr="00A534D3">
              <w:rPr>
                <w:sz w:val="20"/>
                <w:szCs w:val="20"/>
              </w:rPr>
              <w:t>.</w:t>
            </w:r>
          </w:p>
          <w:p w14:paraId="4A104228" w14:textId="77777777" w:rsidR="00A534D3" w:rsidRPr="00A534D3" w:rsidRDefault="00A534D3" w:rsidP="00A534D3">
            <w:pPr>
              <w:pStyle w:val="a8"/>
              <w:rPr>
                <w:sz w:val="20"/>
                <w:szCs w:val="20"/>
              </w:rPr>
            </w:pPr>
            <w:r w:rsidRPr="00A534D3">
              <w:rPr>
                <w:b/>
                <w:bCs/>
                <w:sz w:val="20"/>
                <w:szCs w:val="20"/>
              </w:rPr>
              <w:t>3. PARTICIPANT QUALIFICATION REQUIREMENTS</w:t>
            </w:r>
          </w:p>
          <w:p w14:paraId="6CC6E28D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Registered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entrepreneur</w:t>
            </w:r>
            <w:proofErr w:type="spellEnd"/>
            <w:r w:rsidRPr="00A534D3">
              <w:rPr>
                <w:sz w:val="20"/>
                <w:szCs w:val="20"/>
              </w:rPr>
              <w:t xml:space="preserve"> (FOP), </w:t>
            </w:r>
            <w:proofErr w:type="spellStart"/>
            <w:r w:rsidRPr="00A534D3">
              <w:rPr>
                <w:sz w:val="20"/>
                <w:szCs w:val="20"/>
              </w:rPr>
              <w:t>third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tax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group</w:t>
            </w:r>
            <w:proofErr w:type="spellEnd"/>
          </w:p>
          <w:p w14:paraId="24EE3C40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534D3">
              <w:rPr>
                <w:sz w:val="20"/>
                <w:szCs w:val="20"/>
              </w:rPr>
              <w:t>KVED 49.42: "</w:t>
            </w:r>
            <w:proofErr w:type="spellStart"/>
            <w:r w:rsidRPr="00A534D3">
              <w:rPr>
                <w:sz w:val="20"/>
                <w:szCs w:val="20"/>
              </w:rPr>
              <w:t>Removal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>" (</w:t>
            </w:r>
            <w:proofErr w:type="spellStart"/>
            <w:r w:rsidRPr="00A534D3">
              <w:rPr>
                <w:sz w:val="20"/>
                <w:szCs w:val="20"/>
              </w:rPr>
              <w:t>Transportation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goods</w:t>
            </w:r>
            <w:proofErr w:type="spellEnd"/>
            <w:r w:rsidRPr="00A534D3">
              <w:rPr>
                <w:sz w:val="20"/>
                <w:szCs w:val="20"/>
              </w:rPr>
              <w:t>/</w:t>
            </w:r>
            <w:proofErr w:type="spellStart"/>
            <w:r w:rsidRPr="00A534D3">
              <w:rPr>
                <w:sz w:val="20"/>
                <w:szCs w:val="20"/>
              </w:rPr>
              <w:t>moving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services</w:t>
            </w:r>
            <w:proofErr w:type="spellEnd"/>
            <w:r w:rsidRPr="00A534D3">
              <w:rPr>
                <w:sz w:val="20"/>
                <w:szCs w:val="20"/>
              </w:rPr>
              <w:t>)</w:t>
            </w:r>
          </w:p>
          <w:p w14:paraId="628A34FF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Driving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license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issued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least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three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years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before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the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tender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announcement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date</w:t>
            </w:r>
            <w:proofErr w:type="spellEnd"/>
          </w:p>
          <w:p w14:paraId="6B1FFAFE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Open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category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at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least</w:t>
            </w:r>
            <w:proofErr w:type="spellEnd"/>
            <w:r w:rsidRPr="00A534D3">
              <w:rPr>
                <w:sz w:val="20"/>
                <w:szCs w:val="20"/>
              </w:rPr>
              <w:t xml:space="preserve"> B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above</w:t>
            </w:r>
            <w:proofErr w:type="spellEnd"/>
          </w:p>
          <w:p w14:paraId="44ECD2BE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Excellent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driving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skills</w:t>
            </w:r>
            <w:proofErr w:type="spellEnd"/>
            <w:r w:rsidRPr="00A534D3">
              <w:rPr>
                <w:sz w:val="20"/>
                <w:szCs w:val="20"/>
              </w:rPr>
              <w:t xml:space="preserve">, </w:t>
            </w:r>
            <w:proofErr w:type="spellStart"/>
            <w:r w:rsidRPr="00A534D3">
              <w:rPr>
                <w:sz w:val="20"/>
                <w:szCs w:val="20"/>
              </w:rPr>
              <w:t>knowledge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traffic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rules</w:t>
            </w:r>
            <w:proofErr w:type="spellEnd"/>
          </w:p>
          <w:p w14:paraId="4C5D8F3A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Good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organizational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and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planning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skills</w:t>
            </w:r>
            <w:proofErr w:type="spellEnd"/>
          </w:p>
          <w:p w14:paraId="3C4C737F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Effective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time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management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skills</w:t>
            </w:r>
            <w:proofErr w:type="spellEnd"/>
          </w:p>
          <w:p w14:paraId="5BF7974B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Confidentiality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maintenance</w:t>
            </w:r>
            <w:proofErr w:type="spellEnd"/>
          </w:p>
          <w:p w14:paraId="4473EF03" w14:textId="77777777" w:rsidR="00A534D3" w:rsidRPr="00A534D3" w:rsidRDefault="00A534D3" w:rsidP="00A534D3">
            <w:pPr>
              <w:pStyle w:val="a8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534D3">
              <w:rPr>
                <w:sz w:val="20"/>
                <w:szCs w:val="20"/>
              </w:rPr>
              <w:t>Minimum</w:t>
            </w:r>
            <w:proofErr w:type="spellEnd"/>
            <w:r w:rsidRPr="00A534D3">
              <w:rPr>
                <w:sz w:val="20"/>
                <w:szCs w:val="20"/>
              </w:rPr>
              <w:t xml:space="preserve"> 3 </w:t>
            </w:r>
            <w:proofErr w:type="spellStart"/>
            <w:r w:rsidRPr="00A534D3">
              <w:rPr>
                <w:sz w:val="20"/>
                <w:szCs w:val="20"/>
              </w:rPr>
              <w:t>years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of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accident-free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driving</w:t>
            </w:r>
            <w:proofErr w:type="spellEnd"/>
            <w:r w:rsidRPr="00A534D3">
              <w:rPr>
                <w:sz w:val="20"/>
                <w:szCs w:val="20"/>
              </w:rPr>
              <w:t xml:space="preserve"> </w:t>
            </w:r>
            <w:proofErr w:type="spellStart"/>
            <w:r w:rsidRPr="00A534D3">
              <w:rPr>
                <w:sz w:val="20"/>
                <w:szCs w:val="20"/>
              </w:rPr>
              <w:t>experience</w:t>
            </w:r>
            <w:proofErr w:type="spellEnd"/>
          </w:p>
          <w:p w14:paraId="63A16209" w14:textId="1C324EAC" w:rsidR="00E20EB8" w:rsidRDefault="00E20EB8" w:rsidP="00E20EB8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  <w:p w14:paraId="23788BC2" w14:textId="704B666F" w:rsidR="00E20EB8" w:rsidRPr="00E20EB8" w:rsidRDefault="00E20EB8" w:rsidP="00E20E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233" w:type="dxa"/>
          </w:tcPr>
          <w:p w14:paraId="7F9D472A" w14:textId="1A449A49" w:rsidR="00417616" w:rsidRPr="00A534D3" w:rsidRDefault="00417616" w:rsidP="00417616">
            <w:pPr>
              <w:spacing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Проект </w:t>
            </w: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AWO</w:t>
            </w:r>
            <w:r w:rsidRPr="00A53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2E56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BMZ</w:t>
            </w:r>
          </w:p>
          <w:p w14:paraId="01825255" w14:textId="77777777" w:rsidR="00417616" w:rsidRPr="00E20EB8" w:rsidRDefault="00417616" w:rsidP="00417616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  <w:p w14:paraId="4807E33A" w14:textId="523FE78B" w:rsidR="00417616" w:rsidRPr="00E20EB8" w:rsidRDefault="00417616" w:rsidP="00417616">
            <w:pPr>
              <w:spacing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Додаток 1 до  RFP </w:t>
            </w:r>
            <w:r w:rsidR="00A534D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</w:t>
            </w: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/</w:t>
            </w:r>
            <w:r w:rsidR="00A534D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</w:t>
            </w: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/</w:t>
            </w:r>
            <w:r w:rsidR="00A534D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20</w:t>
            </w:r>
            <w:r w:rsidR="002E569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</w:t>
            </w:r>
          </w:p>
          <w:p w14:paraId="7507DFBD" w14:textId="62DC9297" w:rsidR="00417616" w:rsidRPr="00E20EB8" w:rsidRDefault="00417616" w:rsidP="00417616">
            <w:pPr>
              <w:spacing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Технічне завдання та огляд послуг</w:t>
            </w:r>
          </w:p>
          <w:p w14:paraId="2C7EFEEE" w14:textId="77777777" w:rsidR="00417616" w:rsidRPr="00E20EB8" w:rsidRDefault="00417616" w:rsidP="00417616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CD306" w14:textId="77777777" w:rsidR="00A534D3" w:rsidRPr="00E20EB8" w:rsidRDefault="00A534D3" w:rsidP="00A534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41" w:hanging="3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ОСНОВНІ ЗАВДАННЯ </w:t>
            </w:r>
          </w:p>
          <w:p w14:paraId="7E382EAB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Надання транспортних послуг пов’язаних з перевезенням товарно-матеріальних цінностей (далі – ТМЦ) особистим легковим транспортним засобом Виконавця (далі – ТЗ) власними силами та/або із залученням третіх осіб за попереднім погодженням із Замовником, що передбачає:</w:t>
            </w:r>
          </w:p>
          <w:p w14:paraId="4C635DBE" w14:textId="77777777" w:rsidR="00A534D3" w:rsidRPr="00E20EB8" w:rsidRDefault="00A534D3" w:rsidP="00A534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безперебійне забезпечення Замовника автотранспортним засобом згідно з умовами Договору;</w:t>
            </w:r>
          </w:p>
          <w:p w14:paraId="1B101E90" w14:textId="77777777" w:rsidR="00A534D3" w:rsidRPr="00E20EB8" w:rsidRDefault="00A534D3" w:rsidP="00A534D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надання Замовнику автотранспортного засобу у технічно-справному стані;</w:t>
            </w:r>
          </w:p>
          <w:p w14:paraId="54713A4D" w14:textId="77777777" w:rsidR="00A534D3" w:rsidRPr="00E20EB8" w:rsidRDefault="00A534D3" w:rsidP="00A534D3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забезпечення своєчасності доставки ТМЦ до кінцевого пункту призначення згідно супровідних документів;</w:t>
            </w:r>
          </w:p>
          <w:p w14:paraId="16D67A76" w14:textId="77777777" w:rsidR="00A534D3" w:rsidRPr="00E20EB8" w:rsidRDefault="00A534D3" w:rsidP="00A534D3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забезпечення підготовки та додаткового обладнання транспортного засобу згідно з вимогами нормативно-правових актів щодо діяльності відповідного виду транспорту;</w:t>
            </w:r>
          </w:p>
          <w:p w14:paraId="3D24B637" w14:textId="77777777" w:rsidR="00A534D3" w:rsidRPr="00E20EB8" w:rsidRDefault="00A534D3" w:rsidP="00A534D3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виконання інших зобов’язань та надання інших послуг, супутніх перевезенню ТМЦ, що передбачені цим Договором та не суперечать чинному законодавству.</w:t>
            </w:r>
          </w:p>
          <w:p w14:paraId="446F4268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3753B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Надання транспортних послуг передбачаються за ненормованим графіком, переважно по </w:t>
            </w: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>м. Миколаїв та області</w:t>
            </w: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. За вимогою Замовника можливі відрядження у межах території України. </w:t>
            </w:r>
          </w:p>
          <w:p w14:paraId="4BC55663" w14:textId="77777777" w:rsidR="00A534D3" w:rsidRPr="00E20EB8" w:rsidRDefault="00A534D3" w:rsidP="00A534D3">
            <w:pPr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Передбачається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>0 робочих годин до 31.12.2025 року:</w:t>
            </w:r>
          </w:p>
          <w:p w14:paraId="6C8FFAD7" w14:textId="77777777" w:rsidR="00A534D3" w:rsidRPr="00E20EB8" w:rsidRDefault="00A534D3" w:rsidP="00A534D3">
            <w:pPr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орієнтовний пробіг на добу – варіюється залежно від маршруту: від 100 км до 400 км на добу; </w:t>
            </w:r>
          </w:p>
          <w:p w14:paraId="6A96F301" w14:textId="77777777" w:rsidR="00A534D3" w:rsidRPr="00E20EB8" w:rsidRDefault="00A534D3" w:rsidP="00A534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середня кількість робочих днів на місяць – 20; </w:t>
            </w:r>
          </w:p>
          <w:p w14:paraId="3BF55298" w14:textId="77777777" w:rsidR="00A534D3" w:rsidRPr="00E20EB8" w:rsidRDefault="00A534D3" w:rsidP="00A534D3">
            <w:pPr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орієнтовна кількість робочих годин на добу – 8.</w:t>
            </w:r>
          </w:p>
          <w:p w14:paraId="4D6E53E8" w14:textId="77777777" w:rsidR="00A534D3" w:rsidRPr="00E20EB8" w:rsidRDefault="00A534D3" w:rsidP="00A534D3">
            <w:pPr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Послуги повинні надаватися щоденно у робочі дні (за необхідності – у вихідні та святкові дні). </w:t>
            </w:r>
          </w:p>
          <w:p w14:paraId="1C95B816" w14:textId="77777777" w:rsidR="00A534D3" w:rsidRPr="00E20EB8" w:rsidRDefault="00A534D3" w:rsidP="00A534D3">
            <w:pPr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Приймання Послуг проводиться за їх повнотою та якістю, обсягами та кількістю, а також своєчасним наданням.</w:t>
            </w:r>
          </w:p>
          <w:p w14:paraId="36C3DE70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14:paraId="13393C3E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Виконавець має забезпечити, включаючи, але не обмежуючись, наступним:</w:t>
            </w:r>
          </w:p>
          <w:p w14:paraId="15C8C9ED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комплексну організацію щодо надання транспортних послуг;</w:t>
            </w:r>
          </w:p>
          <w:p w14:paraId="52F753CD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своєчасну подачу в належному технічному та санітарному стані ТЗ, безпечну та зручну поїздку </w:t>
            </w:r>
            <w:r w:rsidRPr="00E20E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пасажирів Замовника;</w:t>
            </w:r>
          </w:p>
          <w:p w14:paraId="7556BCFB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перед виїздом ТЗ в рейс, проводити щоденний технічний огляд ТЗ, за необхідності здійснювати дозаправку ТЗ паливно-мастильними матеріалами (талони, паливні картки на АЗС), які водій Виконавця отримує в Замовника та підтримувати ТЗ Замовника у справному технічному та санітарному стані.</w:t>
            </w:r>
          </w:p>
          <w:p w14:paraId="1B9CDD66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виконання внутрішніх інструкцій Замовника;</w:t>
            </w:r>
          </w:p>
          <w:p w14:paraId="6BE66167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постійний контроль за якістю та повнотою надання послуг;</w:t>
            </w:r>
          </w:p>
          <w:p w14:paraId="003393F9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здійснення заходів щодо забезпечення Правил дорожнього руху;</w:t>
            </w:r>
          </w:p>
          <w:p w14:paraId="55C06C21" w14:textId="77777777" w:rsidR="00A534D3" w:rsidRPr="00E20EB8" w:rsidRDefault="00A534D3" w:rsidP="00A534D3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993"/>
              </w:tabs>
              <w:suppressAutoHyphens/>
              <w:autoSpaceDE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підтримання чистоти та охайності ТЗ;</w:t>
            </w:r>
          </w:p>
          <w:p w14:paraId="5201226D" w14:textId="77777777" w:rsidR="00A534D3" w:rsidRPr="00E20EB8" w:rsidRDefault="00A534D3" w:rsidP="00A534D3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suppressAutoHyphens/>
              <w:ind w:left="284"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неухильне дотримання водієм встановлених правил внутрішнього службового розпорядку Замовника, правил і норм техніки безпеки, пожежної безпеки, а також усіх вимог та стандартів, визначених нормативно-правовими актами України, що регламентують надання таких послуг; </w:t>
            </w:r>
          </w:p>
          <w:p w14:paraId="1092A22B" w14:textId="77777777" w:rsidR="00A534D3" w:rsidRPr="00E20EB8" w:rsidRDefault="00A534D3" w:rsidP="00A534D3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suppressAutoHyphens/>
              <w:ind w:left="284"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вжиття заходів, спрямованих на попередження порушень Правил дорожнього руху, громадського порядку, правил внутрішнього службового розпорядку Замовника; </w:t>
            </w:r>
          </w:p>
          <w:p w14:paraId="6463F4AE" w14:textId="77777777" w:rsidR="00A534D3" w:rsidRPr="00E20EB8" w:rsidRDefault="00A534D3" w:rsidP="00A534D3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suppressAutoHyphens/>
              <w:ind w:left="284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недопущення протизаконної поведінки виконавця;</w:t>
            </w:r>
          </w:p>
          <w:p w14:paraId="69AEA5BA" w14:textId="77777777" w:rsidR="00A534D3" w:rsidRPr="00E20EB8" w:rsidRDefault="00A534D3" w:rsidP="00A534D3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567"/>
                <w:tab w:val="left" w:pos="993"/>
              </w:tabs>
              <w:suppressAutoHyphens/>
              <w:autoSpaceDE w:val="0"/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негайне інформування Замовника про дорожньо-транспортні пригоди, нещасні випадки, випадки крадіжок, інші надзвичайні ситуації, що сталися під час надання послуг;</w:t>
            </w:r>
          </w:p>
          <w:p w14:paraId="6C18CDB3" w14:textId="77777777" w:rsidR="00A534D3" w:rsidRPr="00E20EB8" w:rsidRDefault="00A534D3" w:rsidP="00A534D3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567"/>
                <w:tab w:val="left" w:pos="993"/>
              </w:tabs>
              <w:suppressAutoHyphens/>
              <w:autoSpaceDE w:val="0"/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негайне усне чи письмове інформування Замовника про всі обставини, що перешкоджають Виконавцю виконанню зобов’язань, а також можливих ситуацій, що унеможливлюють своєчасне виконання транспортних послуг чи доставки ТМЦ.</w:t>
            </w:r>
          </w:p>
          <w:p w14:paraId="0E9832E8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Виконавець несе повну матеріальну відповідальність за збитки, спричинені Замовнику, внаслідок неналежного виконання своїх зобов’язань. </w:t>
            </w:r>
          </w:p>
          <w:p w14:paraId="7FE5B0E4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Умови перевезення ТМЦ, зокрема: 1) вид, найменування та кількість ТМЦ; 2) пункт відправлення та пункт призначення ТМЦ; 3) найменування отримувача ТМЦ; 4) період, в який здійснюються перевезення; 5) інші необхідні відомості, визначаються Замовником в Заявках на перевезення. Заявка на перевезення надається в усній або письмовій формі.</w:t>
            </w:r>
          </w:p>
          <w:p w14:paraId="29C00707" w14:textId="77777777" w:rsidR="00A534D3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A561C" w14:textId="77777777" w:rsidR="00A534D3" w:rsidRDefault="00A534D3" w:rsidP="00A534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1" w:hanging="3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УМОВИ ОПЛАТИ ТА ПОРЯДОК РОЗРАХУНКІВ</w:t>
            </w:r>
          </w:p>
          <w:p w14:paraId="41263D59" w14:textId="77777777" w:rsidR="00A534D3" w:rsidRPr="00E20EB8" w:rsidRDefault="00A534D3" w:rsidP="00A5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30C5C9D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Оплата вартості транспортних послуг здійснюється Замовником із розрахунку кількості годин, витрачених Виконавцем для надання Замовнику транспортних послуг з перевезення ТМЦ.</w:t>
            </w:r>
          </w:p>
          <w:p w14:paraId="3C49F8B5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Розрахунок за надані Виконавцем послуги здійснюється Замовником після виконання послуг Виконавцем, в строк до 10 (десятого) числа кожного наступного місяця в безготівковій формі платіжним дорученням на поточний рахунок Виконавця, на підставі підписаного сторонами Акту приймання-передачі наданих послуг та рахунку, виставленого Виконавцем.</w:t>
            </w:r>
          </w:p>
          <w:p w14:paraId="7CD71363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Виконавець надає Замовнику Акт приймання-передачі наданих послуг, який підписується Замовником протягом 3 (трьох) робочих днів. Акт приймання-передачі наданих послуг вважається </w:t>
            </w:r>
            <w:r w:rsidRPr="00E20E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підписаним, якщо протягом 15 (п’ятнадцяти) робочих днів з моменту його отримання Замовником, останній не </w:t>
            </w:r>
            <w:proofErr w:type="spellStart"/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надасть</w:t>
            </w:r>
            <w:proofErr w:type="spellEnd"/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 Виконавцю письмові вмотивовані заперечення на акт.</w:t>
            </w:r>
          </w:p>
          <w:p w14:paraId="620FC2C9" w14:textId="77777777" w:rsidR="00A534D3" w:rsidRPr="00E20EB8" w:rsidRDefault="00A534D3" w:rsidP="00A534D3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082BF" w14:textId="77777777" w:rsidR="00A534D3" w:rsidRPr="00E20EB8" w:rsidRDefault="00A534D3" w:rsidP="00A534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1" w:hanging="357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ВИМОГИ ДО КВАЛІФІКАЦІЇ УЧАСНИКА</w:t>
            </w:r>
          </w:p>
          <w:p w14:paraId="3B94982D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Зареєстрований підприємець (ФОП), третя група оподаткування </w:t>
            </w:r>
          </w:p>
          <w:p w14:paraId="4E9ED86E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КВЕД 49.42: «Надання послуг перевезення речей (переїзду)»</w:t>
            </w:r>
          </w:p>
          <w:p w14:paraId="3EE1C4E2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Посвідчення водія, видане щонайменше три роки тому на момент оголошення тендеру</w:t>
            </w:r>
          </w:p>
          <w:p w14:paraId="764AF288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Відкрита категорія, щонайменше В та вище</w:t>
            </w:r>
          </w:p>
          <w:p w14:paraId="344742D8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Відмінні навички керування автомобілем, знання ПДР</w:t>
            </w:r>
          </w:p>
          <w:p w14:paraId="2CDC20A0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Добрі навички організації та планування</w:t>
            </w:r>
          </w:p>
          <w:p w14:paraId="13DC70E5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Ефективні навички управління часом</w:t>
            </w:r>
          </w:p>
          <w:p w14:paraId="0AE3C1B5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Зберігання конфіденційності</w:t>
            </w:r>
          </w:p>
          <w:p w14:paraId="5E8AFF4A" w14:textId="77777777" w:rsidR="00A534D3" w:rsidRPr="00E20EB8" w:rsidRDefault="00A534D3" w:rsidP="00A534D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Досвід безаварійного керування авто від 3 років</w:t>
            </w:r>
          </w:p>
          <w:p w14:paraId="29F5086A" w14:textId="77777777" w:rsidR="00417616" w:rsidRPr="00E20EB8" w:rsidRDefault="00417616" w:rsidP="00417616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66253" w14:textId="77777777" w:rsidR="00417616" w:rsidRPr="00E20EB8" w:rsidRDefault="00417616" w:rsidP="00417616">
            <w:pPr>
              <w:spacing w:line="276" w:lineRule="auto"/>
              <w:ind w:left="28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</w:tbl>
    <w:p w14:paraId="439462F6" w14:textId="77777777" w:rsidR="00E20EB8" w:rsidRDefault="00E20EB8" w:rsidP="00E20EB8">
      <w:pPr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14:paraId="5D52DEA7" w14:textId="3BC9B0E7" w:rsidR="00E20EB8" w:rsidRDefault="00E20EB8" w:rsidP="00E20E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E20EB8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З оглядом проекту ознайомлені,</w:t>
      </w:r>
    </w:p>
    <w:p w14:paraId="1492BE24" w14:textId="2EA5576D" w:rsidR="00E20EB8" w:rsidRDefault="00E20EB8" w:rsidP="00E20EB8">
      <w:pPr>
        <w:ind w:left="284"/>
        <w:jc w:val="both"/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</w:pPr>
      <w:proofErr w:type="spellStart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>Familiarization</w:t>
      </w:r>
      <w:proofErr w:type="spellEnd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>with</w:t>
      </w:r>
      <w:proofErr w:type="spellEnd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>the</w:t>
      </w:r>
      <w:proofErr w:type="spellEnd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>project</w:t>
      </w:r>
      <w:proofErr w:type="spellEnd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20EB8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>overview</w:t>
      </w:r>
      <w:proofErr w:type="spellEnd"/>
    </w:p>
    <w:p w14:paraId="1817C532" w14:textId="77777777" w:rsidR="00E20EB8" w:rsidRPr="00E20EB8" w:rsidRDefault="00E20EB8" w:rsidP="00E20E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E20EB8" w:rsidRPr="00E20EB8" w14:paraId="462BBB56" w14:textId="77777777" w:rsidTr="00573AA4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38C04F" w14:textId="77777777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  <w:p w14:paraId="4F349F62" w14:textId="6036533D" w:rsidR="00E20EB8" w:rsidRP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proofErr w:type="spellStart"/>
            <w:r w:rsidRPr="00E20EB8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Name</w:t>
            </w:r>
            <w:proofErr w:type="spellEnd"/>
            <w:r w:rsidRPr="00E20EB8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of</w:t>
            </w:r>
            <w:proofErr w:type="spellEnd"/>
            <w:r w:rsidRPr="00E20EB8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the</w:t>
            </w:r>
            <w:proofErr w:type="spellEnd"/>
            <w:r w:rsidRPr="00E20EB8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Participant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D34FF7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5AF76A5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676F76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0EB8" w:rsidRPr="00E20EB8" w14:paraId="26C46011" w14:textId="77777777" w:rsidTr="00573AA4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269E4" w14:textId="77777777" w:rsidR="00573AA4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7F530042" w14:textId="0C169B59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  <w:p w14:paraId="16BEB84C" w14:textId="2E3DEA2D" w:rsidR="00573AA4" w:rsidRPr="00E20EB8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Participant's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signature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DB0FE39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A159689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3D1110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0EB8" w:rsidRPr="00E20EB8" w14:paraId="053ADE0D" w14:textId="77777777" w:rsidTr="00BF06A0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C07AE" w14:textId="77777777" w:rsidR="00573AA4" w:rsidRDefault="00573AA4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30597A24" w14:textId="4196B155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 w:rsidR="00573AA4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14:paraId="5395BBC8" w14:textId="77777777" w:rsidR="00573AA4" w:rsidRDefault="00573AA4" w:rsidP="00573AA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</w:pPr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E-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mail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and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cell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phone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number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of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the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participant</w:t>
            </w:r>
            <w:proofErr w:type="spellEnd"/>
          </w:p>
          <w:p w14:paraId="3FA8A95D" w14:textId="73D52913" w:rsidR="00573AA4" w:rsidRPr="00E20EB8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7630CC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E20EB8" w:rsidRPr="00E20EB8" w14:paraId="60CED72B" w14:textId="77777777" w:rsidTr="00573AA4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8BC837" w14:textId="77777777" w:rsidR="00BF06A0" w:rsidRDefault="00BF06A0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02A253D9" w14:textId="339E3CB5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14:paraId="3413B2D3" w14:textId="77777777" w:rsidR="00573AA4" w:rsidRDefault="00573AA4" w:rsidP="00573AA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</w:pPr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STAMP (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if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available</w:t>
            </w:r>
            <w:proofErr w:type="spellEnd"/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)</w:t>
            </w:r>
          </w:p>
          <w:p w14:paraId="3E654754" w14:textId="3714CD45" w:rsidR="00573AA4" w:rsidRPr="00E20EB8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E6E3A9B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5CB2505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D58336B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B95A6E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0EB8" w:rsidRPr="00E20EB8" w14:paraId="268DA0EA" w14:textId="77777777" w:rsidTr="00573AA4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7C6365" w14:textId="77777777" w:rsidR="00BF06A0" w:rsidRDefault="00BF06A0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13827A05" w14:textId="058CC55E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14:paraId="7A218913" w14:textId="0F8FBAA8" w:rsidR="00573AA4" w:rsidRPr="00E20EB8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DATE: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9492CA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5D03703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FDB29A8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5D9FB61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2143CA6" w14:textId="3484D9B6" w:rsidR="000528AC" w:rsidRDefault="000528AC" w:rsidP="00417616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A0DB67" w14:textId="05B246C8" w:rsidR="00DD64B5" w:rsidRPr="00DD64B5" w:rsidRDefault="00DD64B5" w:rsidP="00DD64B5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  <w:sz w:val="18"/>
        </w:rPr>
      </w:pPr>
    </w:p>
    <w:sectPr w:rsidR="00DD64B5" w:rsidRPr="00DD6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547"/>
    <w:multiLevelType w:val="multilevel"/>
    <w:tmpl w:val="A9F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B3DFD"/>
    <w:multiLevelType w:val="hybridMultilevel"/>
    <w:tmpl w:val="EFD0A3CC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20207E"/>
    <w:multiLevelType w:val="hybridMultilevel"/>
    <w:tmpl w:val="80EC55B0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7D4F55"/>
    <w:multiLevelType w:val="multilevel"/>
    <w:tmpl w:val="639E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55EF8"/>
    <w:multiLevelType w:val="hybridMultilevel"/>
    <w:tmpl w:val="A2D2E150"/>
    <w:lvl w:ilvl="0" w:tplc="FF949898">
      <w:start w:val="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41038"/>
    <w:multiLevelType w:val="hybridMultilevel"/>
    <w:tmpl w:val="5C1CF39A"/>
    <w:lvl w:ilvl="0" w:tplc="125837FE">
      <w:start w:val="1"/>
      <w:numFmt w:val="bullet"/>
      <w:lvlText w:val=""/>
      <w:lvlJc w:val="left"/>
      <w:pPr>
        <w:ind w:left="8790" w:hanging="360"/>
      </w:pPr>
      <w:rPr>
        <w:rFonts w:ascii="Symbol" w:hAnsi="Symbol" w:hint="default"/>
      </w:rPr>
    </w:lvl>
    <w:lvl w:ilvl="1" w:tplc="AD8659F4">
      <w:numFmt w:val="bullet"/>
      <w:lvlText w:val="–"/>
      <w:lvlJc w:val="left"/>
      <w:pPr>
        <w:ind w:left="951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1311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138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4550" w:hanging="360"/>
      </w:pPr>
      <w:rPr>
        <w:rFonts w:ascii="Wingdings" w:hAnsi="Wingdings" w:hint="default"/>
      </w:rPr>
    </w:lvl>
  </w:abstractNum>
  <w:abstractNum w:abstractNumId="7" w15:restartNumberingAfterBreak="0">
    <w:nsid w:val="6EF86A93"/>
    <w:multiLevelType w:val="hybridMultilevel"/>
    <w:tmpl w:val="ADE49E24"/>
    <w:lvl w:ilvl="0" w:tplc="12583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B9E2827"/>
    <w:multiLevelType w:val="multilevel"/>
    <w:tmpl w:val="4FF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2"/>
    <w:rsid w:val="00037AE2"/>
    <w:rsid w:val="000528AC"/>
    <w:rsid w:val="00186DB9"/>
    <w:rsid w:val="001B3E7A"/>
    <w:rsid w:val="00237FD8"/>
    <w:rsid w:val="00251229"/>
    <w:rsid w:val="00295110"/>
    <w:rsid w:val="002C187B"/>
    <w:rsid w:val="002E5694"/>
    <w:rsid w:val="00417616"/>
    <w:rsid w:val="00472201"/>
    <w:rsid w:val="00480431"/>
    <w:rsid w:val="004C35A5"/>
    <w:rsid w:val="00573AA4"/>
    <w:rsid w:val="006011BD"/>
    <w:rsid w:val="009D2C8D"/>
    <w:rsid w:val="00A534D3"/>
    <w:rsid w:val="00AB5A80"/>
    <w:rsid w:val="00BF06A0"/>
    <w:rsid w:val="00C579C2"/>
    <w:rsid w:val="00CB06DC"/>
    <w:rsid w:val="00CB4443"/>
    <w:rsid w:val="00DD64B5"/>
    <w:rsid w:val="00E20EB8"/>
    <w:rsid w:val="00E5712D"/>
    <w:rsid w:val="00ED19FD"/>
    <w:rsid w:val="00F1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34E"/>
  <w15:chartTrackingRefBased/>
  <w15:docId w15:val="{F520A7F8-70AA-4CBE-9E11-4CA6BC5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Chapter10,List Paragraph,Список уровня 2,Bullet Number,Bullet 1,Use Case List Paragraph,lp1,List Paragraph1,lp11,List Paragraph11,List Paragraph (numbered (a)),Elenco Normale,AC List 01,Number Bullets"/>
    <w:basedOn w:val="a"/>
    <w:link w:val="a4"/>
    <w:uiPriority w:val="34"/>
    <w:qFormat/>
    <w:rsid w:val="000528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Без інтервалів Знак"/>
    <w:link w:val="a6"/>
    <w:uiPriority w:val="1"/>
    <w:locked/>
    <w:rsid w:val="000528AC"/>
    <w:rPr>
      <w:rFonts w:ascii="Calibri" w:eastAsia="Calibri" w:hAnsi="Calibri" w:cs="Calibri"/>
      <w:color w:val="000000"/>
      <w:u w:color="000000"/>
      <w:bdr w:val="none" w:sz="0" w:space="0" w:color="auto" w:frame="1"/>
      <w:lang w:eastAsia="ru-RU"/>
    </w:rPr>
  </w:style>
  <w:style w:type="paragraph" w:styleId="a6">
    <w:name w:val="No Spacing"/>
    <w:link w:val="a5"/>
    <w:uiPriority w:val="1"/>
    <w:qFormat/>
    <w:rsid w:val="000528AC"/>
    <w:pPr>
      <w:spacing w:after="0" w:line="240" w:lineRule="auto"/>
    </w:pPr>
    <w:rPr>
      <w:rFonts w:ascii="Calibri" w:eastAsia="Calibri" w:hAnsi="Calibri" w:cs="Calibri"/>
      <w:color w:val="000000"/>
      <w:u w:color="000000"/>
      <w:bdr w:val="none" w:sz="0" w:space="0" w:color="auto" w:frame="1"/>
      <w:lang w:eastAsia="ru-RU"/>
    </w:rPr>
  </w:style>
  <w:style w:type="character" w:customStyle="1" w:styleId="a4">
    <w:name w:val="Абзац списку Знак"/>
    <w:aliases w:val="название табл/рис Знак,заголовок 1.1 Знак,Chapter10 Знак,List Paragraph Знак,Список уровня 2 Знак,Bullet Number Знак,Bullet 1 Знак,Use Case List Paragraph Знак,lp1 Знак,List Paragraph1 Знак,lp11 Знак,List Paragraph11 Знак"/>
    <w:link w:val="a3"/>
    <w:uiPriority w:val="34"/>
    <w:qFormat/>
    <w:locked/>
    <w:rsid w:val="000528AC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41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5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980B-7B24-4CC2-85A2-E7DEDA30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7264</Words>
  <Characters>4141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2024-10-21T13:23:00Z</dcterms:created>
  <dcterms:modified xsi:type="dcterms:W3CDTF">2025-10-20T07:16:00Z</dcterms:modified>
</cp:coreProperties>
</file>