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Pr="0094686B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54776FD4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A0606A">
        <w:rPr>
          <w:b/>
          <w:sz w:val="20"/>
          <w:szCs w:val="20"/>
          <w:highlight w:val="white"/>
          <w:lang w:val="ru-RU"/>
        </w:rPr>
        <w:t>20</w:t>
      </w:r>
      <w:r w:rsidR="00F02203">
        <w:rPr>
          <w:b/>
          <w:sz w:val="20"/>
          <w:szCs w:val="20"/>
          <w:highlight w:val="white"/>
        </w:rPr>
        <w:t>.</w:t>
      </w:r>
      <w:r w:rsidR="00A0606A">
        <w:rPr>
          <w:b/>
          <w:sz w:val="20"/>
          <w:szCs w:val="20"/>
          <w:highlight w:val="white"/>
          <w:lang w:val="ru-RU"/>
        </w:rPr>
        <w:t>01</w:t>
      </w:r>
      <w:r w:rsidR="00F02203">
        <w:rPr>
          <w:b/>
          <w:sz w:val="20"/>
          <w:szCs w:val="20"/>
          <w:highlight w:val="white"/>
        </w:rPr>
        <w:t>.202</w:t>
      </w:r>
      <w:r w:rsidR="00A0606A">
        <w:rPr>
          <w:b/>
          <w:sz w:val="20"/>
          <w:szCs w:val="20"/>
          <w:highlight w:val="white"/>
        </w:rPr>
        <w:t>6</w:t>
      </w:r>
    </w:p>
    <w:p w14:paraId="6E0590E8" w14:textId="3094FDA9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A0606A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A0606A">
        <w:rPr>
          <w:b/>
          <w:sz w:val="22"/>
          <w:szCs w:val="22"/>
          <w:highlight w:val="white"/>
          <w:lang w:val="ru-RU"/>
        </w:rPr>
        <w:t>01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86619F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A0606A">
        <w:rPr>
          <w:b/>
          <w:sz w:val="22"/>
          <w:szCs w:val="22"/>
          <w:highlight w:val="white"/>
          <w:lang w:val="ru-RU"/>
        </w:rPr>
        <w:t>6/2</w:t>
      </w:r>
    </w:p>
    <w:p w14:paraId="669500DA" w14:textId="3840F05B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 xml:space="preserve">УКЛАДЕННЯ </w:t>
      </w:r>
      <w:r w:rsidR="00A0606A">
        <w:rPr>
          <w:b/>
          <w:sz w:val="22"/>
          <w:szCs w:val="22"/>
        </w:rPr>
        <w:t xml:space="preserve">РАМКОВОГО </w:t>
      </w:r>
      <w:r>
        <w:rPr>
          <w:b/>
          <w:sz w:val="22"/>
          <w:szCs w:val="22"/>
        </w:rPr>
        <w:t>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A0606A" w:rsidRPr="00A0606A">
        <w:rPr>
          <w:b/>
          <w:sz w:val="22"/>
          <w:szCs w:val="22"/>
        </w:rPr>
        <w:t>ДИСТРИБ'ЮТОРІВ</w:t>
      </w:r>
      <w:r w:rsidR="00A0606A">
        <w:t xml:space="preserve"> </w:t>
      </w:r>
      <w:r w:rsidR="00FD68E6">
        <w:rPr>
          <w:b/>
          <w:sz w:val="22"/>
          <w:szCs w:val="22"/>
        </w:rPr>
        <w:t xml:space="preserve">У </w:t>
      </w:r>
      <w:r w:rsidR="00A0606A">
        <w:rPr>
          <w:b/>
          <w:sz w:val="22"/>
          <w:szCs w:val="22"/>
        </w:rPr>
        <w:t xml:space="preserve">СУМСЬКІЙ, </w:t>
      </w:r>
      <w:r w:rsidR="0094686B" w:rsidRPr="0094686B">
        <w:rPr>
          <w:b/>
          <w:sz w:val="22"/>
          <w:szCs w:val="22"/>
        </w:rPr>
        <w:t>ХАРКІВСЬКІЙ ТА ДНІПРОПЕТРОВСЬКІЙ ОБЛАСТЯХ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Pr="00E115B8">
        <w:rPr>
          <w:b/>
          <w:sz w:val="22"/>
          <w:szCs w:val="22"/>
        </w:rPr>
        <w:t>  </w:t>
      </w:r>
    </w:p>
    <w:p w14:paraId="63F0C5E6" w14:textId="304F22A0" w:rsidR="00666B93" w:rsidRDefault="00666B93" w:rsidP="00666B93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A0606A">
        <w:rPr>
          <w:b/>
          <w:sz w:val="22"/>
          <w:szCs w:val="22"/>
          <w:u w:val="single"/>
          <w:lang w:val="ru-RU"/>
        </w:rPr>
        <w:t>0</w:t>
      </w:r>
      <w:r w:rsidR="0094686B" w:rsidRPr="0094686B">
        <w:rPr>
          <w:b/>
          <w:sz w:val="22"/>
          <w:szCs w:val="22"/>
          <w:u w:val="single"/>
          <w:lang w:val="ru-RU"/>
        </w:rPr>
        <w:t>3</w:t>
      </w:r>
      <w:r w:rsidRPr="0086619F">
        <w:rPr>
          <w:b/>
          <w:sz w:val="22"/>
          <w:szCs w:val="22"/>
          <w:u w:val="single"/>
          <w:lang w:val="ru-RU"/>
        </w:rPr>
        <w:t>.</w:t>
      </w:r>
      <w:r w:rsidR="00A0606A">
        <w:rPr>
          <w:b/>
          <w:sz w:val="22"/>
          <w:szCs w:val="22"/>
          <w:u w:val="single"/>
          <w:lang w:val="ru-RU"/>
        </w:rPr>
        <w:t>02</w:t>
      </w:r>
      <w:r w:rsidRPr="00FD68E6">
        <w:rPr>
          <w:b/>
          <w:sz w:val="22"/>
          <w:szCs w:val="22"/>
          <w:u w:val="single"/>
        </w:rPr>
        <w:t>.202</w:t>
      </w:r>
      <w:r w:rsidR="00A0606A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5E4922D2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</w:t>
      </w:r>
      <w:r w:rsidR="00A0606A">
        <w:rPr>
          <w:sz w:val="22"/>
          <w:szCs w:val="22"/>
        </w:rPr>
        <w:t xml:space="preserve">рамкового </w:t>
      </w:r>
      <w:r>
        <w:rPr>
          <w:sz w:val="22"/>
          <w:szCs w:val="22"/>
        </w:rPr>
        <w:t>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33A41761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A0606A" w:rsidRPr="00A0606A">
        <w:rPr>
          <w:sz w:val="22"/>
          <w:szCs w:val="22"/>
        </w:rPr>
        <w:t>дистриб'юторів</w:t>
      </w:r>
      <w:r w:rsidR="00A0606A">
        <w:rPr>
          <w:sz w:val="22"/>
          <w:szCs w:val="22"/>
        </w:rPr>
        <w:t xml:space="preserve"> </w:t>
      </w:r>
      <w:r w:rsidR="00FD68E6">
        <w:rPr>
          <w:sz w:val="22"/>
          <w:szCs w:val="22"/>
        </w:rPr>
        <w:t xml:space="preserve">у </w:t>
      </w:r>
      <w:r w:rsidR="00A0606A">
        <w:rPr>
          <w:sz w:val="22"/>
          <w:szCs w:val="22"/>
        </w:rPr>
        <w:t xml:space="preserve">Сумській, </w:t>
      </w:r>
      <w:r w:rsidR="0094686B" w:rsidRPr="0094686B">
        <w:rPr>
          <w:sz w:val="22"/>
          <w:szCs w:val="22"/>
        </w:rPr>
        <w:t>Харківській та Дніпропетровській областях</w:t>
      </w:r>
      <w:r w:rsidR="00E115B8" w:rsidRPr="00E115B8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15B61B42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A0606A">
        <w:rPr>
          <w:sz w:val="22"/>
          <w:szCs w:val="22"/>
          <w:highlight w:val="white"/>
        </w:rPr>
        <w:t>31</w:t>
      </w:r>
      <w:r w:rsidRPr="00793878">
        <w:rPr>
          <w:sz w:val="22"/>
          <w:szCs w:val="22"/>
          <w:highlight w:val="white"/>
        </w:rPr>
        <w:t>.0</w:t>
      </w:r>
      <w:r w:rsidR="00A0606A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51C6B1EF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1971EF" w:rsidRPr="001971EF">
        <w:rPr>
          <w:sz w:val="22"/>
          <w:szCs w:val="22"/>
        </w:rPr>
        <w:t xml:space="preserve">31.08.2026 </w:t>
      </w:r>
      <w:bookmarkStart w:id="0" w:name="_GoBack"/>
      <w:bookmarkEnd w:id="0"/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5F546CCF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A0606A" w:rsidRPr="00A0606A">
        <w:rPr>
          <w:b/>
          <w:color w:val="000000" w:themeColor="text1"/>
          <w:sz w:val="22"/>
          <w:szCs w:val="22"/>
          <w:u w:val="single"/>
        </w:rPr>
        <w:t>03</w:t>
      </w:r>
      <w:r w:rsidR="00666B93" w:rsidRPr="00A0606A">
        <w:rPr>
          <w:b/>
          <w:color w:val="000000" w:themeColor="text1"/>
          <w:sz w:val="22"/>
          <w:szCs w:val="22"/>
          <w:u w:val="single"/>
        </w:rPr>
        <w:t>.</w:t>
      </w:r>
      <w:r w:rsidR="00A0606A" w:rsidRPr="00A0606A">
        <w:rPr>
          <w:b/>
          <w:color w:val="000000" w:themeColor="text1"/>
          <w:sz w:val="22"/>
          <w:szCs w:val="22"/>
          <w:u w:val="single"/>
        </w:rPr>
        <w:t>02</w:t>
      </w:r>
      <w:r w:rsidR="00666B93" w:rsidRPr="0094686B">
        <w:rPr>
          <w:b/>
          <w:color w:val="000000" w:themeColor="text1"/>
          <w:sz w:val="22"/>
          <w:szCs w:val="22"/>
          <w:u w:val="single"/>
        </w:rPr>
        <w:t>.202</w:t>
      </w:r>
      <w:r w:rsidR="00A0606A">
        <w:rPr>
          <w:b/>
          <w:color w:val="000000" w:themeColor="text1"/>
          <w:sz w:val="22"/>
          <w:szCs w:val="22"/>
          <w:u w:val="single"/>
        </w:rPr>
        <w:t>6</w:t>
      </w:r>
      <w:r w:rsidR="00666B93" w:rsidRPr="0094686B">
        <w:rPr>
          <w:b/>
          <w:color w:val="000000" w:themeColor="text1"/>
          <w:sz w:val="22"/>
          <w:szCs w:val="22"/>
          <w:u w:val="single"/>
        </w:rPr>
        <w:t xml:space="preserve"> –17:00 UTC+2</w:t>
      </w:r>
      <w:r w:rsidR="00666B93" w:rsidRPr="0094686B">
        <w:rPr>
          <w:b/>
          <w:i/>
          <w:color w:val="000000" w:themeColor="text1"/>
          <w:sz w:val="22"/>
          <w:szCs w:val="22"/>
          <w:u w:val="single"/>
        </w:rPr>
        <w:t>.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2096832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A91A5A6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08CBA6E" w14:textId="71D8E1CE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4B6293FE" w:rsidR="004C01CE" w:rsidRDefault="0086619F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 w:rsidRPr="008C11AA">
        <w:rPr>
          <w:sz w:val="21"/>
          <w:szCs w:val="21"/>
        </w:rPr>
        <w:t>Пропозиції надаються шляхом направлення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3" w:history="1">
        <w:r w:rsidRPr="008C11AA">
          <w:rPr>
            <w:rStyle w:val="a4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4" w:history="1">
        <w:r w:rsidRPr="001B732B">
          <w:rPr>
            <w:rStyle w:val="a4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r>
        <w:rPr>
          <w:sz w:val="21"/>
          <w:szCs w:val="21"/>
        </w:rPr>
        <w:t>або</w:t>
      </w:r>
      <w:r w:rsidRPr="00F26A34">
        <w:rPr>
          <w:sz w:val="21"/>
          <w:szCs w:val="21"/>
        </w:rPr>
        <w:t xml:space="preserve"> електронний майданчик </w:t>
      </w:r>
      <w:r w:rsidRPr="000301C5">
        <w:rPr>
          <w:rStyle w:val="a4"/>
          <w:b/>
        </w:rPr>
        <w:t>https://zakupivli.pro/</w:t>
      </w:r>
      <w:r w:rsidRPr="008C11AA">
        <w:rPr>
          <w:sz w:val="21"/>
          <w:szCs w:val="21"/>
        </w:rPr>
        <w:t xml:space="preserve"> або в паперовому вигляді окремими листами фінансова частина від технічної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Київ - 065, 03065, Україна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 </w:t>
      </w:r>
      <w:r w:rsidR="00875660">
        <w:rPr>
          <w:sz w:val="22"/>
          <w:szCs w:val="22"/>
        </w:rPr>
        <w:t>не пізніше</w:t>
      </w:r>
      <w:r w:rsidR="002C2739">
        <w:rPr>
          <w:b/>
          <w:color w:val="000000" w:themeColor="text1"/>
          <w:sz w:val="22"/>
          <w:szCs w:val="22"/>
          <w:u w:val="single"/>
          <w:lang w:val="ru-RU"/>
        </w:rPr>
        <w:t xml:space="preserve"> </w:t>
      </w:r>
      <w:r w:rsidR="002C2739" w:rsidRPr="002C2739">
        <w:rPr>
          <w:b/>
          <w:color w:val="000000" w:themeColor="text1"/>
          <w:sz w:val="22"/>
          <w:szCs w:val="22"/>
          <w:u w:val="single"/>
        </w:rPr>
        <w:t>03</w:t>
      </w:r>
      <w:r w:rsidR="00666B93" w:rsidRPr="002C2739">
        <w:rPr>
          <w:b/>
          <w:color w:val="000000" w:themeColor="text1"/>
          <w:sz w:val="22"/>
          <w:szCs w:val="22"/>
          <w:u w:val="single"/>
        </w:rPr>
        <w:t>.</w:t>
      </w:r>
      <w:r w:rsidR="002C2739" w:rsidRPr="002C2739">
        <w:rPr>
          <w:b/>
          <w:color w:val="000000" w:themeColor="text1"/>
          <w:sz w:val="22"/>
          <w:szCs w:val="22"/>
          <w:u w:val="single"/>
        </w:rPr>
        <w:t>01</w:t>
      </w:r>
      <w:r w:rsidR="00666B93" w:rsidRPr="0094686B">
        <w:rPr>
          <w:b/>
          <w:color w:val="000000" w:themeColor="text1"/>
          <w:sz w:val="22"/>
          <w:szCs w:val="22"/>
          <w:u w:val="single"/>
        </w:rPr>
        <w:t>.202</w:t>
      </w:r>
      <w:r w:rsidR="002C2739" w:rsidRPr="002C2739">
        <w:rPr>
          <w:b/>
          <w:color w:val="000000" w:themeColor="text1"/>
          <w:sz w:val="22"/>
          <w:szCs w:val="22"/>
          <w:u w:val="single"/>
        </w:rPr>
        <w:t>6</w:t>
      </w:r>
      <w:r w:rsidR="00666B93" w:rsidRPr="0094686B">
        <w:rPr>
          <w:b/>
          <w:color w:val="000000" w:themeColor="text1"/>
          <w:sz w:val="22"/>
          <w:szCs w:val="22"/>
          <w:u w:val="single"/>
        </w:rPr>
        <w:t xml:space="preserve"> –17:00 UTC+2</w:t>
      </w:r>
      <w:r w:rsidR="00666B93" w:rsidRPr="0094686B">
        <w:rPr>
          <w:b/>
          <w:i/>
          <w:color w:val="000000" w:themeColor="text1"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5DD299D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  <w:r w:rsidR="0094686B">
        <w:rPr>
          <w:color w:val="000000"/>
          <w:sz w:val="22"/>
          <w:szCs w:val="22"/>
          <w:lang w:val="ru-RU"/>
        </w:rPr>
        <w:t xml:space="preserve"> </w:t>
      </w:r>
    </w:p>
    <w:p w14:paraId="302F2191" w14:textId="7364A179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технічної пропозиції (Додаток 2) та Додатки до технічної пропозиції 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5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390460DE" w:rsidR="004C01CE" w:rsidRPr="0094686B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6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7804FF9C" w14:textId="7F27A8ED" w:rsidR="0094686B" w:rsidRDefault="0094686B" w:rsidP="009468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i/>
          <w:sz w:val="21"/>
          <w:szCs w:val="21"/>
        </w:rPr>
        <w:t>«</w:t>
      </w:r>
      <w:r w:rsidRPr="0094686B">
        <w:rPr>
          <w:i/>
          <w:sz w:val="21"/>
          <w:szCs w:val="21"/>
        </w:rPr>
        <w:t>Форма фінансової пропозиції</w:t>
      </w:r>
      <w:r>
        <w:rPr>
          <w:i/>
          <w:sz w:val="21"/>
          <w:szCs w:val="21"/>
        </w:rPr>
        <w:t>» подається на кожен лот як окремий файл</w:t>
      </w:r>
      <w:r>
        <w:rPr>
          <w:color w:val="000000"/>
          <w:sz w:val="22"/>
          <w:szCs w:val="22"/>
        </w:rPr>
        <w:t>).</w:t>
      </w:r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86619F" w:rsidRDefault="00875660">
      <w:pPr>
        <w:ind w:left="720"/>
        <w:jc w:val="both"/>
        <w:rPr>
          <w:b/>
          <w:sz w:val="21"/>
          <w:szCs w:val="21"/>
        </w:rPr>
      </w:pPr>
      <w:r w:rsidRPr="0086619F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2B506247" w:rsidR="004C01CE" w:rsidRDefault="00675285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0B87204C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8C5CFB">
        <w:rPr>
          <w:sz w:val="21"/>
          <w:szCs w:val="21"/>
        </w:rPr>
        <w:t>6</w:t>
      </w:r>
      <w:r w:rsidRPr="00D12D51">
        <w:rPr>
          <w:sz w:val="21"/>
          <w:szCs w:val="21"/>
        </w:rPr>
        <w:t xml:space="preserve">0% - </w:t>
      </w:r>
      <w:r w:rsidR="008C5CFB">
        <w:rPr>
          <w:sz w:val="21"/>
          <w:szCs w:val="21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3D1AA48C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2275644" w14:textId="7A254C83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03F52751" w14:textId="6EF20D4A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56F4B8EE" w14:textId="77777777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371"/>
        <w:gridCol w:w="7682"/>
        <w:gridCol w:w="1859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5700525B" w14:textId="5DC5772F" w:rsidR="00C313CF" w:rsidRDefault="00875660" w:rsidP="00C313CF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7B7A2B86" w14:textId="77777777" w:rsidR="00C313CF" w:rsidRPr="00CD5394" w:rsidRDefault="00C313CF" w:rsidP="00C313CF">
      <w:pPr>
        <w:ind w:firstLine="708"/>
        <w:jc w:val="both"/>
        <w:rPr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"/>
        <w:gridCol w:w="3656"/>
        <w:gridCol w:w="1705"/>
        <w:gridCol w:w="2587"/>
        <w:gridCol w:w="1653"/>
      </w:tblGrid>
      <w:tr w:rsidR="00C313CF" w14:paraId="1AF84321" w14:textId="77777777" w:rsidTr="00C313CF">
        <w:trPr>
          <w:trHeight w:val="45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79646" w:fill="F79646"/>
            <w:vAlign w:val="center"/>
            <w:hideMark/>
          </w:tcPr>
          <w:p w14:paraId="42644001" w14:textId="77777777" w:rsidR="00C313CF" w:rsidRDefault="00C313C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РОЗУМІННЯ ТЕХНІЧНИХ ВИМОГ (Частина 2 тендеру RFP)</w:t>
            </w:r>
          </w:p>
        </w:tc>
      </w:tr>
      <w:tr w:rsidR="00C313CF" w14:paraId="29817330" w14:textId="77777777" w:rsidTr="00C313CF">
        <w:trPr>
          <w:trHeight w:val="1890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4133F785" w14:textId="77777777" w:rsidR="00C313CF" w:rsidRDefault="00C3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01AB7B71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Відповідність технічним вимогам</w:t>
            </w:r>
          </w:p>
        </w:tc>
        <w:tc>
          <w:tcPr>
            <w:tcW w:w="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2AAB5486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Вага критерію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47F1D21C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МЕТОДОЛОГІЯ ОЦІНКИ</w:t>
            </w:r>
          </w:p>
        </w:tc>
        <w:tc>
          <w:tcPr>
            <w:tcW w:w="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23164C7F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Максимальна кількість балів за вимогою</w:t>
            </w:r>
          </w:p>
        </w:tc>
      </w:tr>
      <w:tr w:rsidR="00C313CF" w14:paraId="2D44718A" w14:textId="77777777" w:rsidTr="00C313CF">
        <w:trPr>
          <w:trHeight w:val="2880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CC41D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6C77E8" w14:textId="77777777" w:rsidR="00C313CF" w:rsidRDefault="00C313C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Виконавець повинен мати вищу освіту.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За найкращим та допустимим сценарієм, очікується наявність у Виконавця вищої освіти не нижче рівня бакалавр у сферах психології, чи інших суміжних напрямках.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0E44A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10DC4A" w14:textId="77777777" w:rsidR="00C313CF" w:rsidRDefault="00C313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балів: Доктор наук </w:t>
            </w:r>
            <w:r>
              <w:rPr>
                <w:color w:val="000000"/>
                <w:sz w:val="22"/>
                <w:szCs w:val="22"/>
              </w:rPr>
              <w:br/>
              <w:t xml:space="preserve">8 балів: Кандидат наук </w:t>
            </w:r>
            <w:r>
              <w:rPr>
                <w:color w:val="000000"/>
                <w:sz w:val="22"/>
                <w:szCs w:val="22"/>
              </w:rPr>
              <w:br/>
              <w:t>6 балів: Магістр</w:t>
            </w:r>
            <w:r>
              <w:rPr>
                <w:color w:val="000000"/>
                <w:sz w:val="22"/>
                <w:szCs w:val="22"/>
              </w:rPr>
              <w:br/>
              <w:t>4 бали: Спеціаліст</w:t>
            </w:r>
            <w:r>
              <w:rPr>
                <w:color w:val="000000"/>
                <w:sz w:val="22"/>
                <w:szCs w:val="22"/>
              </w:rPr>
              <w:br/>
              <w:t>2 бали: Бакалавр</w:t>
            </w:r>
            <w:r>
              <w:rPr>
                <w:color w:val="000000"/>
                <w:sz w:val="22"/>
                <w:szCs w:val="22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A832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C313CF" w14:paraId="0235B47D" w14:textId="77777777" w:rsidTr="00C313CF">
        <w:trPr>
          <w:trHeight w:val="5370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79C6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807513" w14:textId="77777777" w:rsidR="00C313CF" w:rsidRDefault="00C313C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Надати деталізоване резюме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Виконавця.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Проводиться оцінка змістовності резюме із зазначенням досвіду, набутих навичок, наявності розроблених методичних матеріалів та напрацювання в сфері виконання проекту.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83311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006C7E" w14:textId="77777777" w:rsidR="00C313CF" w:rsidRDefault="00C313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балів: Демонстрація вичерпної інформації у ключових сферах та завданнях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проєкту</w:t>
            </w:r>
            <w:proofErr w:type="spellEnd"/>
            <w:r>
              <w:rPr>
                <w:color w:val="000000"/>
                <w:sz w:val="22"/>
                <w:szCs w:val="22"/>
              </w:rPr>
              <w:t>, зазначений детальний опис повноважень, навичок, досягнень, організованих тренінгах. Резюме актуалізоване та містить інформацію діяльності фахівця щонайменше за останні 3 роки..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 xml:space="preserve">5 балів: балів: Демонстрація узагальненої інформації у ключових сферах та завданнях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проєкту</w:t>
            </w:r>
            <w:proofErr w:type="spellEnd"/>
            <w:r>
              <w:rPr>
                <w:color w:val="000000"/>
                <w:sz w:val="22"/>
                <w:szCs w:val="22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проєкту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F09BE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C313CF" w14:paraId="61B1C86C" w14:textId="77777777" w:rsidTr="00C313CF">
        <w:trPr>
          <w:trHeight w:val="1530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32E49F61" w14:textId="77777777" w:rsidR="00C313CF" w:rsidRDefault="00C3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07C30C61" w14:textId="77777777" w:rsidR="00C313CF" w:rsidRDefault="00C313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Професіоналізм, спроможність, навички та відповідний досвід </w:t>
            </w:r>
          </w:p>
        </w:tc>
        <w:tc>
          <w:tcPr>
            <w:tcW w:w="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60BEAB4B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Вага критерію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5191409C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МЕТОДОЛОГІЯ ОЦІНКИ</w:t>
            </w:r>
          </w:p>
        </w:tc>
        <w:tc>
          <w:tcPr>
            <w:tcW w:w="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4C688B38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Максимальна кількість балів за вимогою</w:t>
            </w:r>
          </w:p>
        </w:tc>
      </w:tr>
      <w:tr w:rsidR="00C313CF" w14:paraId="3263CF25" w14:textId="77777777" w:rsidTr="00C313CF">
        <w:trPr>
          <w:trHeight w:val="4050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2B258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0D55F" w14:textId="77777777" w:rsidR="00C313CF" w:rsidRDefault="00C313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Учасник надав зразки/шаблони документів, релевантних до NFI та складських процесів.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6A402" w14:textId="77777777" w:rsidR="00C313CF" w:rsidRDefault="00C313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886D0A" w14:textId="77777777" w:rsidR="00C313CF" w:rsidRDefault="00C313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балів: учасник релевантні (</w:t>
            </w:r>
            <w:proofErr w:type="spellStart"/>
            <w:r>
              <w:rPr>
                <w:color w:val="000000"/>
                <w:sz w:val="22"/>
                <w:szCs w:val="22"/>
              </w:rPr>
              <w:t>анонімізовані</w:t>
            </w:r>
            <w:proofErr w:type="spellEnd"/>
            <w:r>
              <w:rPr>
                <w:color w:val="000000"/>
                <w:sz w:val="22"/>
                <w:szCs w:val="22"/>
              </w:rPr>
              <w:t>) зразки: план розподілу, відомості/акти видачі, накладні, складські журнали/картки обліку, інвентаризаційні відомості, звіти після розподілу, PDM форми.</w:t>
            </w:r>
            <w:r>
              <w:rPr>
                <w:color w:val="000000"/>
                <w:sz w:val="22"/>
                <w:szCs w:val="22"/>
              </w:rPr>
              <w:br/>
              <w:t>10 балів: Надані зразки частково релевантні або їх недостатньо для підтвердження навичок у всьому циклі NFI.</w:t>
            </w:r>
            <w:r>
              <w:rPr>
                <w:color w:val="000000"/>
                <w:sz w:val="22"/>
                <w:szCs w:val="22"/>
              </w:rPr>
              <w:br/>
              <w:t>0 балів: Зразки не надані або вони нерелевантні.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BFADD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</w:t>
            </w:r>
          </w:p>
        </w:tc>
      </w:tr>
      <w:tr w:rsidR="00C313CF" w14:paraId="560DDA5B" w14:textId="77777777" w:rsidTr="00C313CF">
        <w:trPr>
          <w:trHeight w:val="3648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E96A2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596AC" w14:textId="77777777" w:rsidR="00C313CF" w:rsidRDefault="00C313CF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Учасник має досвід роботи у гуманітарному/громадському секторі, бажано в напрямі NFI/логістики.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22BD0" w14:textId="77777777" w:rsidR="00C313CF" w:rsidRDefault="00C313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CC3C0" w14:textId="77777777" w:rsidR="00C313CF" w:rsidRDefault="00C313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балів: Досвід роботи 3+ роки у гуманітарному/громадському секторі у ролях, пов'язаних з NFI, логістикою або складом.</w:t>
            </w:r>
            <w:r>
              <w:rPr>
                <w:color w:val="000000"/>
                <w:sz w:val="20"/>
                <w:szCs w:val="20"/>
              </w:rPr>
              <w:br/>
              <w:t>2 балів: Досвід 2+ роки у відповідних ролях.</w:t>
            </w:r>
            <w:r>
              <w:rPr>
                <w:color w:val="000000"/>
                <w:sz w:val="20"/>
                <w:szCs w:val="20"/>
              </w:rPr>
              <w:br/>
              <w:t>0 балів: Відсутній релевантний досвід у секторі або на відповідних посадах.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70E5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C313CF" w14:paraId="218CD74E" w14:textId="77777777" w:rsidTr="00C313CF">
        <w:trPr>
          <w:trHeight w:val="2076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EB4BD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8B523" w14:textId="77777777" w:rsidR="00C313CF" w:rsidRDefault="00C313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Учасник має практичний досвід ведення складського обліку та організації розподілів відповідно до SOP.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9F0EF" w14:textId="77777777" w:rsidR="00C313CF" w:rsidRDefault="00C313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88C1" w14:textId="77777777" w:rsidR="00C313CF" w:rsidRDefault="00C313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балів: Підтверджений досвід ведення обліку (Excel/облікові системи), інвентаризацій, оформлення первинної документації та проведення розподілів за SOP.</w:t>
            </w:r>
            <w:r>
              <w:rPr>
                <w:color w:val="000000"/>
                <w:sz w:val="20"/>
                <w:szCs w:val="20"/>
              </w:rPr>
              <w:br/>
              <w:t>2 балів: Є досвід у частині процесів (наприклад, лише розподіли або лише склад), без повного циклу.</w:t>
            </w:r>
            <w:r>
              <w:rPr>
                <w:color w:val="000000"/>
                <w:sz w:val="20"/>
                <w:szCs w:val="20"/>
              </w:rPr>
              <w:br/>
              <w:t>0 балів: Відсутній підтверджений досвід.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3048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</w:tbl>
    <w:p w14:paraId="187F7ABB" w14:textId="77777777" w:rsidR="00C313CF" w:rsidRDefault="00C313CF" w:rsidP="00C313CF">
      <w:pPr>
        <w:ind w:firstLine="708"/>
        <w:jc w:val="both"/>
        <w:rPr>
          <w:sz w:val="21"/>
          <w:szCs w:val="21"/>
        </w:rPr>
      </w:pPr>
    </w:p>
    <w:p w14:paraId="42BA3229" w14:textId="18E4B1A3" w:rsidR="004C01CE" w:rsidRPr="00CD5394" w:rsidRDefault="00875660" w:rsidP="00C313CF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94686B">
      <w:footerReference w:type="default" r:id="rId17"/>
      <w:footerReference w:type="first" r:id="rId18"/>
      <w:pgSz w:w="11906" w:h="16838"/>
      <w:pgMar w:top="426" w:right="991" w:bottom="567" w:left="993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5E890" w14:textId="77777777" w:rsidR="00675285" w:rsidRDefault="00675285">
      <w:r>
        <w:separator/>
      </w:r>
    </w:p>
  </w:endnote>
  <w:endnote w:type="continuationSeparator" w:id="0">
    <w:p w14:paraId="50064C70" w14:textId="77777777" w:rsidR="00675285" w:rsidRDefault="0067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6752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8CCD3" w14:textId="77777777" w:rsidR="00675285" w:rsidRDefault="00675285">
      <w:r>
        <w:separator/>
      </w:r>
    </w:p>
  </w:footnote>
  <w:footnote w:type="continuationSeparator" w:id="0">
    <w:p w14:paraId="6953DB11" w14:textId="77777777" w:rsidR="00675285" w:rsidRDefault="00675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23FC9"/>
    <w:rsid w:val="00043BF2"/>
    <w:rsid w:val="000B06C0"/>
    <w:rsid w:val="001541A9"/>
    <w:rsid w:val="001971EF"/>
    <w:rsid w:val="00245C2B"/>
    <w:rsid w:val="00251286"/>
    <w:rsid w:val="00280206"/>
    <w:rsid w:val="002C2739"/>
    <w:rsid w:val="003638BC"/>
    <w:rsid w:val="003A7F1A"/>
    <w:rsid w:val="00447F9F"/>
    <w:rsid w:val="004C01CE"/>
    <w:rsid w:val="00503B84"/>
    <w:rsid w:val="00522635"/>
    <w:rsid w:val="00523B42"/>
    <w:rsid w:val="0057198A"/>
    <w:rsid w:val="00585642"/>
    <w:rsid w:val="00666B93"/>
    <w:rsid w:val="00675285"/>
    <w:rsid w:val="00793878"/>
    <w:rsid w:val="007A72C2"/>
    <w:rsid w:val="007B2895"/>
    <w:rsid w:val="007E4318"/>
    <w:rsid w:val="0086619F"/>
    <w:rsid w:val="00875660"/>
    <w:rsid w:val="00880763"/>
    <w:rsid w:val="008C5CFB"/>
    <w:rsid w:val="00901E5A"/>
    <w:rsid w:val="0094686B"/>
    <w:rsid w:val="009732C2"/>
    <w:rsid w:val="009D2C5D"/>
    <w:rsid w:val="00A0606A"/>
    <w:rsid w:val="00A31BB0"/>
    <w:rsid w:val="00A669D5"/>
    <w:rsid w:val="00AB1FB1"/>
    <w:rsid w:val="00B55BD4"/>
    <w:rsid w:val="00B65A32"/>
    <w:rsid w:val="00B95EC1"/>
    <w:rsid w:val="00C06ACE"/>
    <w:rsid w:val="00C313CF"/>
    <w:rsid w:val="00C3354A"/>
    <w:rsid w:val="00C535B3"/>
    <w:rsid w:val="00C7584A"/>
    <w:rsid w:val="00CD5394"/>
    <w:rsid w:val="00D12D51"/>
    <w:rsid w:val="00D32DBD"/>
    <w:rsid w:val="00D90CD7"/>
    <w:rsid w:val="00D9109B"/>
    <w:rsid w:val="00E04894"/>
    <w:rsid w:val="00E115B8"/>
    <w:rsid w:val="00E27E73"/>
    <w:rsid w:val="00E44F2C"/>
    <w:rsid w:val="00E844DA"/>
    <w:rsid w:val="00E84EBC"/>
    <w:rsid w:val="00EF21D0"/>
    <w:rsid w:val="00F02203"/>
    <w:rsid w:val="00F12C1D"/>
    <w:rsid w:val="00F2294B"/>
    <w:rsid w:val="00F2312E"/>
    <w:rsid w:val="00F71CA3"/>
    <w:rsid w:val="00F74DBF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inance_tender@rokada.org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tender@rokada.org.ua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inance_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9851</Words>
  <Characters>5616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35</cp:revision>
  <dcterms:created xsi:type="dcterms:W3CDTF">2023-09-20T08:20:00Z</dcterms:created>
  <dcterms:modified xsi:type="dcterms:W3CDTF">2026-01-20T15:09:00Z</dcterms:modified>
</cp:coreProperties>
</file>